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1CF3A" w14:textId="77777777" w:rsidR="00D5352D" w:rsidRPr="00AE31AE" w:rsidRDefault="003B1C42" w:rsidP="00D5352D">
      <w:pPr>
        <w:pStyle w:val="Heading1"/>
      </w:pPr>
      <w:bookmarkStart w:id="0" w:name="_Toc401914074"/>
      <w:bookmarkStart w:id="1" w:name="_Toc416260885"/>
      <w:bookmarkStart w:id="2" w:name="_Toc98394872"/>
      <w:bookmarkStart w:id="3" w:name="_Toc19803882"/>
      <w:bookmarkStart w:id="4" w:name="_Hlk17357338"/>
      <w:bookmarkStart w:id="5" w:name="_GoBack"/>
      <w:r>
        <w:rPr>
          <w:noProof/>
        </w:rPr>
        <w:drawing>
          <wp:anchor distT="0" distB="0" distL="114300" distR="114300" simplePos="0" relativeHeight="251764735" behindDoc="0" locked="0" layoutInCell="1" allowOverlap="1" wp14:anchorId="310BD7C0" wp14:editId="7B0BA969">
            <wp:simplePos x="0" y="0"/>
            <wp:positionH relativeFrom="column">
              <wp:posOffset>-900430</wp:posOffset>
            </wp:positionH>
            <wp:positionV relativeFrom="paragraph">
              <wp:posOffset>-810260</wp:posOffset>
            </wp:positionV>
            <wp:extent cx="7550958" cy="10679756"/>
            <wp:effectExtent l="0" t="0" r="0" b="762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rkInProgress\Bec's Pubs\Publications\20 years of LSAY\20 years of LSAY cover.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0958" cy="1067975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5"/>
      <w:r w:rsidR="00D056F3">
        <w:br w:type="page"/>
      </w:r>
      <w:bookmarkStart w:id="6" w:name="_Toc275542998"/>
      <w:bookmarkStart w:id="7" w:name="_Toc416260895"/>
      <w:bookmarkStart w:id="8" w:name="_Toc416421649"/>
      <w:bookmarkStart w:id="9" w:name="_Toc421789466"/>
      <w:bookmarkStart w:id="10" w:name="_Toc495748330"/>
      <w:bookmarkStart w:id="11" w:name="_Toc495810630"/>
      <w:bookmarkStart w:id="12" w:name="_Toc6031787"/>
      <w:bookmarkStart w:id="13" w:name="_Toc6031844"/>
      <w:bookmarkEnd w:id="2"/>
      <w:r w:rsidR="00D5352D" w:rsidRPr="00AE31AE">
        <w:lastRenderedPageBreak/>
        <w:t>Acknowledgments</w:t>
      </w:r>
      <w:bookmarkEnd w:id="3"/>
      <w:bookmarkEnd w:id="6"/>
      <w:bookmarkEnd w:id="7"/>
      <w:bookmarkEnd w:id="8"/>
      <w:bookmarkEnd w:id="9"/>
    </w:p>
    <w:p w14:paraId="78A0CAC8" w14:textId="77777777" w:rsidR="00FC6AA4" w:rsidRDefault="00FC6AA4" w:rsidP="00AC6E16">
      <w:r>
        <w:t>We thank the authors who agreed to summarise their research into chapters for this publication:</w:t>
      </w:r>
    </w:p>
    <w:p w14:paraId="40111522" w14:textId="25CC88ED" w:rsidR="0049704D" w:rsidRPr="008B72C5" w:rsidRDefault="0049704D" w:rsidP="00AC6E16">
      <w:r>
        <w:rPr>
          <w:b/>
        </w:rPr>
        <w:t xml:space="preserve">Alison </w:t>
      </w:r>
      <w:proofErr w:type="spellStart"/>
      <w:r>
        <w:rPr>
          <w:b/>
        </w:rPr>
        <w:t>Anlezark</w:t>
      </w:r>
      <w:proofErr w:type="spellEnd"/>
      <w:r>
        <w:rPr>
          <w:b/>
        </w:rPr>
        <w:br/>
      </w:r>
      <w:r w:rsidR="008E48C5">
        <w:t>Manager Advancement Services, University of Adelaide</w:t>
      </w:r>
    </w:p>
    <w:p w14:paraId="16D97D69" w14:textId="432E79D2" w:rsidR="00B86E0F" w:rsidRDefault="00FC6AA4" w:rsidP="00AC6E16">
      <w:r w:rsidRPr="00CB1373">
        <w:rPr>
          <w:b/>
        </w:rPr>
        <w:t>Dr Jenny Chesters</w:t>
      </w:r>
      <w:r>
        <w:br/>
        <w:t>Lecturer/Research Fellow, MSGE, The University of Melbourne</w:t>
      </w:r>
      <w:r w:rsidR="008C0DA4">
        <w:br/>
      </w:r>
      <w:r>
        <w:t xml:space="preserve">Dr Chesters’ research interests </w:t>
      </w:r>
      <w:proofErr w:type="gramStart"/>
      <w:r>
        <w:t>include:</w:t>
      </w:r>
      <w:proofErr w:type="gramEnd"/>
      <w:r>
        <w:t xml:space="preserve"> </w:t>
      </w:r>
      <w:r w:rsidR="00F74A8E">
        <w:t>i</w:t>
      </w:r>
      <w:r>
        <w:t>nequality in educational attainment according to socioeconomic status, transitions between education and employment throughout the life course, and social stratification.</w:t>
      </w:r>
    </w:p>
    <w:p w14:paraId="7D6E8A1A" w14:textId="6BA315DE" w:rsidR="00CE65E3" w:rsidRPr="008B72C5" w:rsidRDefault="00CE65E3" w:rsidP="00AC6E16">
      <w:r>
        <w:rPr>
          <w:b/>
        </w:rPr>
        <w:t>Emerick Chew</w:t>
      </w:r>
      <w:r>
        <w:rPr>
          <w:b/>
        </w:rPr>
        <w:br/>
      </w:r>
      <w:r>
        <w:t>Data Analyst, National Surveys, National Centre for Vocational Education Research</w:t>
      </w:r>
    </w:p>
    <w:p w14:paraId="6B0D6702" w14:textId="26B11C7F" w:rsidR="00B86E0F" w:rsidRDefault="00B86E0F" w:rsidP="00AC6E16">
      <w:r w:rsidRPr="00CB1373">
        <w:rPr>
          <w:b/>
        </w:rPr>
        <w:t>Dr Grant Cooper</w:t>
      </w:r>
      <w:r>
        <w:br/>
        <w:t>Lecturer, School of Education, RMIT</w:t>
      </w:r>
    </w:p>
    <w:p w14:paraId="695EE6BC" w14:textId="1883F5A7" w:rsidR="00446ADE" w:rsidRPr="008C0DA4" w:rsidRDefault="00CE088E" w:rsidP="00446ADE">
      <w:r>
        <w:rPr>
          <w:b/>
        </w:rPr>
        <w:t xml:space="preserve">Dr </w:t>
      </w:r>
      <w:r w:rsidR="00BE799B" w:rsidRPr="00CB1373">
        <w:rPr>
          <w:b/>
        </w:rPr>
        <w:t>David D Curtis</w:t>
      </w:r>
      <w:r w:rsidR="00BE799B">
        <w:br/>
        <w:t>Principal, Transforming Education (Australia) and Associate Professor (Adjunct) College of Education Psychology &amp; Social Work, Flinders University</w:t>
      </w:r>
      <w:r w:rsidR="008C0DA4">
        <w:br/>
      </w:r>
      <w:hyperlink r:id="rId9" w:history="1">
        <w:r w:rsidR="008C0DA4" w:rsidRPr="001F7E39">
          <w:rPr>
            <w:rStyle w:val="Hyperlink"/>
            <w:szCs w:val="19"/>
          </w:rPr>
          <w:t>https://www.flinders.edu.au/people/david.curtis</w:t>
        </w:r>
      </w:hyperlink>
    </w:p>
    <w:p w14:paraId="6280333E" w14:textId="54DDF3AF" w:rsidR="005206E9" w:rsidRDefault="005206E9" w:rsidP="00AC6E16">
      <w:r w:rsidRPr="00CB1373">
        <w:rPr>
          <w:b/>
        </w:rPr>
        <w:t>Adjunct Professor Tom Karmel</w:t>
      </w:r>
      <w:r>
        <w:br/>
        <w:t>Future of Employment and Skills research centre, University of Adelaide</w:t>
      </w:r>
      <w:r w:rsidR="008C0DA4">
        <w:br/>
      </w:r>
      <w:r>
        <w:t xml:space="preserve">Research interest: </w:t>
      </w:r>
      <w:r w:rsidR="00F74A8E">
        <w:t>t</w:t>
      </w:r>
      <w:r>
        <w:t>he link between education and the labour market.</w:t>
      </w:r>
    </w:p>
    <w:p w14:paraId="5395C3C2" w14:textId="614EE2BE" w:rsidR="008B6A62" w:rsidRDefault="008B6A62" w:rsidP="00AC6E16">
      <w:r w:rsidRPr="00CB1373">
        <w:rPr>
          <w:b/>
        </w:rPr>
        <w:t>Dr Helen Law</w:t>
      </w:r>
      <w:r>
        <w:br/>
        <w:t>Postdoctoral researcher, Department of Sociology, University of Tübingen</w:t>
      </w:r>
      <w:r w:rsidR="008C0DA4">
        <w:br/>
      </w:r>
      <w:r w:rsidR="005F2D5B">
        <w:t xml:space="preserve">Dr Helen Law is a postdoctoral researcher in the Department of Sociology at the University of Tübingen. She is a recipient of the Marie </w:t>
      </w:r>
      <w:proofErr w:type="spellStart"/>
      <w:r w:rsidR="005F2D5B" w:rsidRPr="005F2D5B">
        <w:t>Skłodowska</w:t>
      </w:r>
      <w:proofErr w:type="spellEnd"/>
      <w:r w:rsidR="00CA3754">
        <w:t>-Curie Actions Individual Fellowship from the European Commission. She completed her PhD in sociology at the Australian National University. Her research interests focus on gender differences in educational and occupational choices, educational inequalities and quantitative methods.</w:t>
      </w:r>
    </w:p>
    <w:p w14:paraId="31F599F8" w14:textId="5C1B6CA9" w:rsidR="004E71B1" w:rsidRDefault="00F80325" w:rsidP="00AC6E16">
      <w:r w:rsidRPr="00CB1373">
        <w:rPr>
          <w:b/>
        </w:rPr>
        <w:t>Dr Jung-Sook Lee</w:t>
      </w:r>
      <w:r w:rsidR="004E71B1">
        <w:br/>
      </w:r>
      <w:r>
        <w:t>Senior Lecturer, School of Social Sciences, University of New South Wales</w:t>
      </w:r>
      <w:r w:rsidR="008C0DA4">
        <w:br/>
      </w:r>
      <w:hyperlink r:id="rId10" w:history="1">
        <w:r w:rsidR="008C0DA4" w:rsidRPr="001F7E39">
          <w:rPr>
            <w:rStyle w:val="Hyperlink"/>
          </w:rPr>
          <w:t>https://research.unsw.edu.au/people/dr-jung-sook-lee</w:t>
        </w:r>
      </w:hyperlink>
    </w:p>
    <w:p w14:paraId="6D63FE00" w14:textId="46BDF3A1" w:rsidR="00BE799B" w:rsidRDefault="00E03CA2" w:rsidP="00AC6E16">
      <w:r w:rsidRPr="00CB1373">
        <w:rPr>
          <w:b/>
        </w:rPr>
        <w:t>Professor Philip Parker</w:t>
      </w:r>
      <w:r>
        <w:br/>
        <w:t>Deputy Director and Program Lead, Institute for Positive Psychology and Education, Australian Catholic University</w:t>
      </w:r>
      <w:r w:rsidR="008C0DA4">
        <w:br/>
      </w:r>
      <w:r w:rsidR="00BE799B">
        <w:t>Philip Parker is the Deputy Director of the Institute for Positive Psychology and Education at the Australian Catholic University. His research is on the way psychology and society interact and how this interaction affects people’s life chances. He is particularly interested in educational inequality.</w:t>
      </w:r>
    </w:p>
    <w:p w14:paraId="00383724" w14:textId="6152C7CC" w:rsidR="00101428" w:rsidRPr="00101428" w:rsidRDefault="00101428" w:rsidP="00AC6E16">
      <w:r>
        <w:rPr>
          <w:b/>
          <w:bCs/>
        </w:rPr>
        <w:t>Associate Professor Francisco Perales</w:t>
      </w:r>
      <w:r>
        <w:rPr>
          <w:b/>
          <w:bCs/>
        </w:rPr>
        <w:br/>
      </w:r>
      <w:r>
        <w:t>Institute for Social Science Research, The University of Queensland</w:t>
      </w:r>
    </w:p>
    <w:p w14:paraId="43A1BE00" w14:textId="6BF26122" w:rsidR="00BE799B" w:rsidRDefault="00BE799B" w:rsidP="00AC6E16">
      <w:r w:rsidRPr="00CB1373">
        <w:rPr>
          <w:b/>
        </w:rPr>
        <w:t xml:space="preserve">Dr Cain </w:t>
      </w:r>
      <w:proofErr w:type="spellStart"/>
      <w:r w:rsidRPr="00CB1373">
        <w:rPr>
          <w:b/>
        </w:rPr>
        <w:t>Polidano</w:t>
      </w:r>
      <w:proofErr w:type="spellEnd"/>
      <w:r>
        <w:br/>
        <w:t>Senior Research Fellow, Melbourne Institute of Applied Economic and Social Research, University of Melbourne</w:t>
      </w:r>
      <w:r w:rsidR="008C0DA4">
        <w:br/>
      </w:r>
      <w:hyperlink r:id="rId11" w:history="1">
        <w:r w:rsidR="008C0DA4" w:rsidRPr="001F7E39">
          <w:rPr>
            <w:rStyle w:val="Hyperlink"/>
            <w:lang w:val="en-US"/>
          </w:rPr>
          <w:t>https://melbourneinstitute.unimelb.edu.au/staff/research</w:t>
        </w:r>
      </w:hyperlink>
    </w:p>
    <w:p w14:paraId="79BF254F" w14:textId="3DCEC606" w:rsidR="00725D79" w:rsidRPr="00725D79" w:rsidRDefault="00725D79" w:rsidP="00AC6E16">
      <w:r>
        <w:rPr>
          <w:b/>
        </w:rPr>
        <w:t>Rasika Ranasinghe</w:t>
      </w:r>
      <w:r>
        <w:rPr>
          <w:b/>
        </w:rPr>
        <w:br/>
      </w:r>
      <w:r>
        <w:t>Office of the South Australian Productivity Commission (OSAPC)</w:t>
      </w:r>
    </w:p>
    <w:p w14:paraId="019E9A03" w14:textId="56D10272" w:rsidR="000B1B29" w:rsidRDefault="000B1B29" w:rsidP="00AC6E16">
      <w:r w:rsidRPr="00CB1373">
        <w:rPr>
          <w:b/>
        </w:rPr>
        <w:lastRenderedPageBreak/>
        <w:t>Dr Joanna Sikora</w:t>
      </w:r>
      <w:r>
        <w:br/>
        <w:t>School of Sociology, Australian National University</w:t>
      </w:r>
    </w:p>
    <w:p w14:paraId="6A05F787" w14:textId="5DA30C5F" w:rsidR="00CE65E3" w:rsidRPr="008B72C5" w:rsidRDefault="00CE65E3" w:rsidP="00AC6E16">
      <w:r>
        <w:rPr>
          <w:b/>
        </w:rPr>
        <w:t>Dr John Stanwick</w:t>
      </w:r>
      <w:r>
        <w:rPr>
          <w:b/>
        </w:rPr>
        <w:br/>
      </w:r>
      <w:r>
        <w:t>Senior Research Fellow, National Research, National Centre for Vocational Education Research</w:t>
      </w:r>
    </w:p>
    <w:p w14:paraId="2EEDD332" w14:textId="6A8ACDCC" w:rsidR="00BE799B" w:rsidRPr="008C0DA4" w:rsidRDefault="00BE799B" w:rsidP="00AC6E16">
      <w:r w:rsidRPr="00CB1373">
        <w:rPr>
          <w:b/>
        </w:rPr>
        <w:t>Domenico Tabasso</w:t>
      </w:r>
      <w:r>
        <w:br/>
        <w:t>Technical Office (Economist), Research Department, International Labour Organization</w:t>
      </w:r>
      <w:r w:rsidR="008C0DA4">
        <w:br/>
      </w:r>
      <w:hyperlink r:id="rId12" w:history="1">
        <w:r w:rsidR="008C0DA4" w:rsidRPr="001F7E39">
          <w:rPr>
            <w:rStyle w:val="Hyperlink"/>
            <w:lang w:val="en-GB"/>
          </w:rPr>
          <w:t>https://sites.google.com/site/domtabasso/</w:t>
        </w:r>
      </w:hyperlink>
    </w:p>
    <w:p w14:paraId="0FBF6286" w14:textId="739F013C" w:rsidR="00CB1373" w:rsidRDefault="0044199C" w:rsidP="00AC6E16">
      <w:pPr>
        <w:rPr>
          <w:lang w:val="en-GB"/>
        </w:rPr>
      </w:pPr>
      <w:r>
        <w:rPr>
          <w:b/>
          <w:lang w:val="en-GB"/>
        </w:rPr>
        <w:t>Associate Professor</w:t>
      </w:r>
      <w:r w:rsidR="00CB1373">
        <w:rPr>
          <w:b/>
          <w:lang w:val="en-GB"/>
        </w:rPr>
        <w:t xml:space="preserve"> Wojtek Tomaszewski</w:t>
      </w:r>
      <w:r w:rsidR="00CB1373">
        <w:rPr>
          <w:lang w:val="en-GB"/>
        </w:rPr>
        <w:br/>
        <w:t>Research Group Leader, Institute for Social Science Research, The University of Queensland</w:t>
      </w:r>
    </w:p>
    <w:p w14:paraId="6DB68372" w14:textId="56BBD255" w:rsidR="00101428" w:rsidRPr="00101428" w:rsidRDefault="00101428" w:rsidP="00AC6E16">
      <w:pPr>
        <w:rPr>
          <w:rFonts w:ascii="Calibri" w:hAnsi="Calibri"/>
          <w:sz w:val="22"/>
          <w:lang w:val="en-GB"/>
        </w:rPr>
      </w:pPr>
      <w:r>
        <w:rPr>
          <w:b/>
          <w:bCs/>
          <w:lang w:val="en-GB"/>
        </w:rPr>
        <w:t>Dr Ning Xiang</w:t>
      </w:r>
      <w:r>
        <w:rPr>
          <w:lang w:val="en-GB"/>
        </w:rPr>
        <w:br/>
        <w:t>Institute for Social Science Research, The University of Queensland</w:t>
      </w:r>
    </w:p>
    <w:p w14:paraId="7FDD121F" w14:textId="24BB0618" w:rsidR="00093D64" w:rsidRDefault="00093D64" w:rsidP="00AC6E16">
      <w:r>
        <w:br w:type="page"/>
      </w:r>
    </w:p>
    <w:p w14:paraId="6318AB4B" w14:textId="081E1ED6" w:rsidR="00093D64" w:rsidRDefault="00093D64" w:rsidP="00AC6E16"/>
    <w:p w14:paraId="203F3703" w14:textId="6F949F15" w:rsidR="00093D64" w:rsidRDefault="00093D64" w:rsidP="00AC6E16">
      <w:r>
        <w:rPr>
          <w:noProof/>
        </w:rPr>
        <w:drawing>
          <wp:anchor distT="0" distB="0" distL="114300" distR="114300" simplePos="0" relativeHeight="252038144" behindDoc="0" locked="0" layoutInCell="1" allowOverlap="1" wp14:anchorId="284B9801" wp14:editId="15E16660">
            <wp:simplePos x="0" y="0"/>
            <wp:positionH relativeFrom="column">
              <wp:posOffset>903605</wp:posOffset>
            </wp:positionH>
            <wp:positionV relativeFrom="paragraph">
              <wp:posOffset>210820</wp:posOffset>
            </wp:positionV>
            <wp:extent cx="2251146" cy="480060"/>
            <wp:effectExtent l="0" t="0" r="0" b="0"/>
            <wp:wrapNone/>
            <wp:docPr id="71" name="Picture 71" descr="P:\PublicationComponents\logos\NCVER LOGOS\Print\NCVER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Print\NCVER_MON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1146" cy="480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E1794" w14:textId="0650B32B" w:rsidR="00093D64" w:rsidRDefault="00093D64" w:rsidP="00AC6E16"/>
    <w:p w14:paraId="6A900853" w14:textId="26AA88C5" w:rsidR="00093D64" w:rsidRDefault="00093D64" w:rsidP="00AC6E16"/>
    <w:p w14:paraId="2F7CC4B8" w14:textId="2493882D" w:rsidR="00093D64" w:rsidRDefault="00093D64" w:rsidP="00AC6E16">
      <w:r>
        <w:rPr>
          <w:noProof/>
        </w:rPr>
        <w:drawing>
          <wp:anchor distT="0" distB="0" distL="114300" distR="114300" simplePos="0" relativeHeight="252039168" behindDoc="0" locked="0" layoutInCell="1" allowOverlap="1" wp14:anchorId="2A6B576A" wp14:editId="50B281AB">
            <wp:simplePos x="0" y="0"/>
            <wp:positionH relativeFrom="column">
              <wp:posOffset>904875</wp:posOffset>
            </wp:positionH>
            <wp:positionV relativeFrom="paragraph">
              <wp:posOffset>243840</wp:posOffset>
            </wp:positionV>
            <wp:extent cx="1809194" cy="614149"/>
            <wp:effectExtent l="0" t="0" r="635" b="0"/>
            <wp:wrapNone/>
            <wp:docPr id="72" name="Picture 72" descr="P:\PublicationComponents\logos\LSAY\NCVER_DMS-#59082-v2-LSAY_logo_B&amp;W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logos\LSAY\NCVER_DMS-#59082-v2-LSAY_logo_B&amp;W_jpe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194" cy="6141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CE1AE" w14:textId="6D2AF8B1" w:rsidR="00093D64" w:rsidRDefault="00093D64" w:rsidP="00AC6E16"/>
    <w:p w14:paraId="26E44606" w14:textId="66693213" w:rsidR="00093D64" w:rsidRDefault="00093D64" w:rsidP="00AC6E16"/>
    <w:p w14:paraId="6CB2F5D7" w14:textId="36AB3652" w:rsidR="00093D64" w:rsidRDefault="00093D64" w:rsidP="00AC6E16"/>
    <w:p w14:paraId="614FB6C3" w14:textId="4A2341E9" w:rsidR="00093D64" w:rsidRDefault="00093D64" w:rsidP="00AC6E16"/>
    <w:p w14:paraId="45A47723" w14:textId="517B5E58" w:rsidR="00093D64" w:rsidRDefault="00093D64" w:rsidP="00AC6E16"/>
    <w:p w14:paraId="3146A1E0" w14:textId="77777777" w:rsidR="00093D64" w:rsidRDefault="00093D64" w:rsidP="00093D64">
      <w:pPr>
        <w:spacing w:line="240" w:lineRule="auto"/>
        <w:ind w:left="1418"/>
        <w:rPr>
          <w:sz w:val="52"/>
          <w:szCs w:val="52"/>
        </w:rPr>
      </w:pPr>
    </w:p>
    <w:p w14:paraId="6AC3D42C" w14:textId="794C0BAB" w:rsidR="005C520B" w:rsidRPr="00CB67D2" w:rsidRDefault="00093D64" w:rsidP="005C520B">
      <w:pPr>
        <w:spacing w:line="240" w:lineRule="auto"/>
        <w:ind w:left="1418"/>
        <w:rPr>
          <w:rFonts w:ascii="Tahoma" w:hAnsi="Tahoma" w:cs="Tahoma"/>
          <w:sz w:val="52"/>
          <w:szCs w:val="52"/>
        </w:rPr>
      </w:pPr>
      <w:r w:rsidRPr="00CB67D2">
        <w:rPr>
          <w:rFonts w:ascii="Tahoma" w:hAnsi="Tahoma" w:cs="Tahoma"/>
          <w:sz w:val="52"/>
          <w:szCs w:val="52"/>
        </w:rPr>
        <w:t>2</w:t>
      </w:r>
      <w:r w:rsidR="005A68A7">
        <w:rPr>
          <w:rFonts w:ascii="Tahoma" w:hAnsi="Tahoma" w:cs="Tahoma"/>
          <w:sz w:val="52"/>
          <w:szCs w:val="52"/>
        </w:rPr>
        <w:t>5</w:t>
      </w:r>
      <w:r w:rsidR="00FA5B71">
        <w:rPr>
          <w:rFonts w:ascii="Tahoma" w:hAnsi="Tahoma" w:cs="Tahoma"/>
          <w:sz w:val="52"/>
          <w:szCs w:val="52"/>
        </w:rPr>
        <w:t xml:space="preserve"> </w:t>
      </w:r>
      <w:r w:rsidRPr="00CB67D2">
        <w:rPr>
          <w:rFonts w:ascii="Tahoma" w:hAnsi="Tahoma" w:cs="Tahoma"/>
          <w:sz w:val="52"/>
          <w:szCs w:val="52"/>
        </w:rPr>
        <w:t>years of LSAY</w:t>
      </w:r>
      <w:r w:rsidR="00CB67D2" w:rsidRPr="00CB67D2">
        <w:rPr>
          <w:rFonts w:ascii="Tahoma" w:hAnsi="Tahoma" w:cs="Tahoma"/>
          <w:sz w:val="52"/>
          <w:szCs w:val="52"/>
        </w:rPr>
        <w:t>:</w:t>
      </w:r>
    </w:p>
    <w:p w14:paraId="7C4FF7F6" w14:textId="5B0CE4FD" w:rsidR="00093D64" w:rsidRPr="00CB67D2" w:rsidRDefault="00093D64" w:rsidP="00CB67D2">
      <w:pPr>
        <w:spacing w:before="0" w:line="240" w:lineRule="auto"/>
        <w:ind w:left="1418"/>
        <w:rPr>
          <w:rFonts w:ascii="Tahoma" w:hAnsi="Tahoma" w:cs="Tahoma"/>
          <w:sz w:val="52"/>
          <w:szCs w:val="52"/>
        </w:rPr>
      </w:pPr>
      <w:r w:rsidRPr="00CB67D2">
        <w:rPr>
          <w:rFonts w:ascii="Tahoma" w:hAnsi="Tahoma" w:cs="Tahoma"/>
          <w:sz w:val="52"/>
          <w:szCs w:val="52"/>
        </w:rPr>
        <w:t xml:space="preserve">Research from the </w:t>
      </w:r>
      <w:r w:rsidR="00C66BA6">
        <w:rPr>
          <w:rFonts w:ascii="Tahoma" w:hAnsi="Tahoma" w:cs="Tahoma"/>
          <w:sz w:val="52"/>
          <w:szCs w:val="52"/>
        </w:rPr>
        <w:br/>
      </w:r>
      <w:r w:rsidR="00716A61">
        <w:rPr>
          <w:rFonts w:ascii="Tahoma" w:hAnsi="Tahoma" w:cs="Tahoma"/>
          <w:sz w:val="52"/>
          <w:szCs w:val="52"/>
        </w:rPr>
        <w:t xml:space="preserve">Longitudinal </w:t>
      </w:r>
      <w:r w:rsidRPr="00CB67D2">
        <w:rPr>
          <w:rFonts w:ascii="Tahoma" w:hAnsi="Tahoma" w:cs="Tahoma"/>
          <w:sz w:val="52"/>
          <w:szCs w:val="52"/>
        </w:rPr>
        <w:t xml:space="preserve">Surveys </w:t>
      </w:r>
      <w:r w:rsidR="00C66BA6">
        <w:rPr>
          <w:rFonts w:ascii="Tahoma" w:hAnsi="Tahoma" w:cs="Tahoma"/>
          <w:sz w:val="52"/>
          <w:szCs w:val="52"/>
        </w:rPr>
        <w:br/>
      </w:r>
      <w:r w:rsidRPr="00CB67D2">
        <w:rPr>
          <w:rFonts w:ascii="Tahoma" w:hAnsi="Tahoma" w:cs="Tahoma"/>
          <w:sz w:val="52"/>
          <w:szCs w:val="52"/>
        </w:rPr>
        <w:t>of Australian Youth</w:t>
      </w:r>
    </w:p>
    <w:p w14:paraId="4490519D" w14:textId="18B99DD2" w:rsidR="00093D64" w:rsidRDefault="00093D64" w:rsidP="00AC6E16"/>
    <w:p w14:paraId="23E8536A" w14:textId="77777777" w:rsidR="00C66BA6" w:rsidRDefault="00C66BA6" w:rsidP="00AC6E16"/>
    <w:p w14:paraId="2EC949EE" w14:textId="7B25F691" w:rsidR="00093D64" w:rsidRDefault="00093D64" w:rsidP="00AC6E16"/>
    <w:p w14:paraId="7A7100F9" w14:textId="3F52363F" w:rsidR="00093D64" w:rsidRPr="00CB67D2" w:rsidRDefault="00093D64" w:rsidP="00093D64">
      <w:pPr>
        <w:ind w:left="1418"/>
        <w:rPr>
          <w:rFonts w:ascii="Tahoma" w:hAnsi="Tahoma" w:cs="Tahoma"/>
          <w:sz w:val="32"/>
          <w:szCs w:val="32"/>
        </w:rPr>
      </w:pPr>
      <w:r w:rsidRPr="00CB67D2">
        <w:rPr>
          <w:rFonts w:ascii="Tahoma" w:hAnsi="Tahoma" w:cs="Tahoma"/>
          <w:sz w:val="32"/>
          <w:szCs w:val="32"/>
        </w:rPr>
        <w:t>Edited by Cameron Forrest and Charlotte Scobie</w:t>
      </w:r>
    </w:p>
    <w:p w14:paraId="4FF7E9D9" w14:textId="7705AC61" w:rsidR="00093D64" w:rsidRPr="00CB67D2" w:rsidRDefault="00093D64" w:rsidP="005A1893">
      <w:pPr>
        <w:spacing w:line="360" w:lineRule="auto"/>
        <w:ind w:left="1418"/>
        <w:rPr>
          <w:rFonts w:ascii="Tahoma" w:hAnsi="Tahoma" w:cs="Tahoma"/>
          <w:sz w:val="32"/>
          <w:szCs w:val="32"/>
        </w:rPr>
      </w:pPr>
      <w:r w:rsidRPr="00CB67D2">
        <w:rPr>
          <w:rFonts w:ascii="Tahoma" w:hAnsi="Tahoma" w:cs="Tahoma"/>
          <w:sz w:val="32"/>
          <w:szCs w:val="32"/>
        </w:rPr>
        <w:t>NCVER</w:t>
      </w:r>
    </w:p>
    <w:p w14:paraId="2C045018" w14:textId="77777777" w:rsidR="00093D64" w:rsidRDefault="00093D64" w:rsidP="00AC6E16"/>
    <w:p w14:paraId="4D69916B" w14:textId="77777777" w:rsidR="00093D64" w:rsidRDefault="00093D64" w:rsidP="00AC6E16"/>
    <w:p w14:paraId="23B7DB16" w14:textId="77777777" w:rsidR="00093D64" w:rsidRDefault="00093D64" w:rsidP="00AC6E16"/>
    <w:p w14:paraId="4EFB3C4F" w14:textId="77777777" w:rsidR="00093D64" w:rsidRDefault="00093D64" w:rsidP="00AC6E16"/>
    <w:p w14:paraId="5DC22315" w14:textId="38870EF1" w:rsidR="00093D64" w:rsidRPr="00093D64" w:rsidRDefault="00093D64" w:rsidP="00093D64">
      <w:pPr>
        <w:ind w:left="1418"/>
        <w:rPr>
          <w:sz w:val="24"/>
          <w:szCs w:val="24"/>
        </w:rPr>
      </w:pPr>
      <w:r w:rsidRPr="00093D64">
        <w:rPr>
          <w:sz w:val="24"/>
          <w:szCs w:val="24"/>
        </w:rPr>
        <w:t>LONGITUDINAL SURVEYS OF AUSTRALIAN YOUTH</w:t>
      </w:r>
    </w:p>
    <w:p w14:paraId="380A8D9B" w14:textId="77777777" w:rsidR="00093D64" w:rsidRDefault="00093D64" w:rsidP="00AC6E16"/>
    <w:p w14:paraId="4C0C6491" w14:textId="77777777" w:rsidR="00093D64" w:rsidRDefault="00093D64" w:rsidP="00AC6E16"/>
    <w:p w14:paraId="20194F9B" w14:textId="6ED75F70" w:rsidR="00093D64" w:rsidRDefault="00093D64" w:rsidP="00093D64">
      <w:pPr>
        <w:ind w:left="1418" w:right="424"/>
      </w:pPr>
      <w:r>
        <w:t xml:space="preserve">The views and opinions expressed in this document are those of the author/project team and do not necessarily reflect the views of the </w:t>
      </w:r>
      <w:r>
        <w:br/>
        <w:t xml:space="preserve">Australian Government or state and territory governments. </w:t>
      </w:r>
      <w:r>
        <w:br w:type="page"/>
      </w:r>
    </w:p>
    <w:p w14:paraId="5F0D3B3A" w14:textId="77777777" w:rsidR="007C667B" w:rsidRPr="005C2FCF" w:rsidRDefault="007C667B" w:rsidP="007C667B">
      <w:pPr>
        <w:pStyle w:val="Heading3"/>
        <w:ind w:right="-1"/>
      </w:pPr>
      <w:bookmarkStart w:id="14" w:name="_Toc98394880"/>
      <w:bookmarkStart w:id="15" w:name="_Toc296423683"/>
      <w:bookmarkStart w:id="16" w:name="_Toc296497514"/>
      <w:r w:rsidRPr="005C2FCF">
        <w:lastRenderedPageBreak/>
        <w:t>Publisher’s note</w:t>
      </w:r>
    </w:p>
    <w:p w14:paraId="6C05527B" w14:textId="333D57D8" w:rsidR="00FE792E" w:rsidRDefault="007C667B" w:rsidP="00CB67D2">
      <w:pPr>
        <w:pStyle w:val="Imprint"/>
      </w:pPr>
      <w:r w:rsidRPr="007C667B">
        <w:t>The views and opinions expressed in this document are thos</w:t>
      </w:r>
      <w:r w:rsidRPr="00FE792E">
        <w:t xml:space="preserve">e of the </w:t>
      </w:r>
      <w:r w:rsidRPr="008C3142">
        <w:t>author</w:t>
      </w:r>
      <w:r w:rsidR="00CB67D2">
        <w:t>s</w:t>
      </w:r>
      <w:r w:rsidRPr="00FE792E">
        <w:t xml:space="preserve"> and do not necessarily reflect the views of the Australian Government, state and territory governments or NCVER. Any interpretation of data is the responsibility of the author/project team.</w:t>
      </w:r>
    </w:p>
    <w:p w14:paraId="233A3332" w14:textId="721F5533" w:rsidR="00FE792E" w:rsidRDefault="00FE792E" w:rsidP="00FE792E">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5" w:history="1">
        <w:r w:rsidRPr="00CE248F">
          <w:t>http://www.voced.edu.au</w:t>
        </w:r>
      </w:hyperlink>
      <w:r w:rsidRPr="00CE248F">
        <w:t>&gt;)</w:t>
      </w:r>
      <w:r>
        <w:t xml:space="preserve"> using the following keywords: </w:t>
      </w:r>
      <w:r w:rsidR="00F74A8E">
        <w:t>a</w:t>
      </w:r>
      <w:r w:rsidR="0034244E">
        <w:t xml:space="preserve">spirations; </w:t>
      </w:r>
      <w:r w:rsidR="00F74A8E">
        <w:t>a</w:t>
      </w:r>
      <w:r w:rsidR="0034244E">
        <w:t xml:space="preserve">ttainment; </w:t>
      </w:r>
      <w:r w:rsidR="00F74A8E">
        <w:t>c</w:t>
      </w:r>
      <w:r w:rsidR="0034244E">
        <w:t xml:space="preserve">areer choice; </w:t>
      </w:r>
      <w:r w:rsidR="00F74A8E">
        <w:t>c</w:t>
      </w:r>
      <w:r w:rsidR="0034244E">
        <w:t xml:space="preserve">areer guidance; </w:t>
      </w:r>
      <w:r w:rsidR="00F74A8E">
        <w:t>d</w:t>
      </w:r>
      <w:r w:rsidR="0034244E">
        <w:t xml:space="preserve">ata analysis; </w:t>
      </w:r>
      <w:r w:rsidR="00F74A8E">
        <w:t>e</w:t>
      </w:r>
      <w:r w:rsidR="0034244E">
        <w:t xml:space="preserve">ducational level; </w:t>
      </w:r>
      <w:r w:rsidR="00F74A8E">
        <w:t>e</w:t>
      </w:r>
      <w:r w:rsidR="0034244E">
        <w:t xml:space="preserve">mployment; </w:t>
      </w:r>
      <w:r w:rsidR="00F74A8E">
        <w:t>e</w:t>
      </w:r>
      <w:r w:rsidR="0034244E">
        <w:t xml:space="preserve">ntry into working life; </w:t>
      </w:r>
      <w:r w:rsidR="00F74A8E">
        <w:t>g</w:t>
      </w:r>
      <w:r w:rsidR="0034244E">
        <w:t xml:space="preserve">ender; </w:t>
      </w:r>
      <w:r w:rsidR="00F74A8E">
        <w:t>h</w:t>
      </w:r>
      <w:r w:rsidR="0034244E">
        <w:t xml:space="preserve">igher education; </w:t>
      </w:r>
      <w:r w:rsidR="00F74A8E">
        <w:t>l</w:t>
      </w:r>
      <w:r w:rsidR="0034244E">
        <w:t xml:space="preserve">ongitudinal data; </w:t>
      </w:r>
      <w:r w:rsidR="00F74A8E">
        <w:t>l</w:t>
      </w:r>
      <w:r w:rsidR="0034244E">
        <w:t xml:space="preserve">ongitudinal study; </w:t>
      </w:r>
      <w:r w:rsidR="00F74A8E">
        <w:t>o</w:t>
      </w:r>
      <w:r w:rsidR="0034244E">
        <w:t xml:space="preserve">utcomes; </w:t>
      </w:r>
      <w:r w:rsidR="00F74A8E">
        <w:t>o</w:t>
      </w:r>
      <w:r w:rsidR="0034244E">
        <w:t xml:space="preserve">utcomes of education and training; </w:t>
      </w:r>
      <w:r w:rsidR="00F74A8E">
        <w:t>p</w:t>
      </w:r>
      <w:r w:rsidR="0034244E">
        <w:t xml:space="preserve">articipation; </w:t>
      </w:r>
      <w:r w:rsidR="00F74A8E">
        <w:t>p</w:t>
      </w:r>
      <w:r w:rsidR="0034244E">
        <w:t xml:space="preserve">athways; </w:t>
      </w:r>
      <w:r w:rsidR="00F74A8E">
        <w:t>q</w:t>
      </w:r>
      <w:r w:rsidR="0034244E">
        <w:t xml:space="preserve">ualifications; </w:t>
      </w:r>
      <w:r w:rsidR="00F74A8E">
        <w:t>s</w:t>
      </w:r>
      <w:r w:rsidR="0034244E">
        <w:t xml:space="preserve">chool leavers; </w:t>
      </w:r>
      <w:r w:rsidR="00F74A8E">
        <w:t>s</w:t>
      </w:r>
      <w:r w:rsidR="0034244E">
        <w:t xml:space="preserve">econdary education; </w:t>
      </w:r>
      <w:r w:rsidR="00F74A8E">
        <w:t>s</w:t>
      </w:r>
      <w:r w:rsidR="0034244E">
        <w:t xml:space="preserve">ocioeconomic background; </w:t>
      </w:r>
      <w:r w:rsidR="00F74A8E">
        <w:t>s</w:t>
      </w:r>
      <w:r w:rsidR="0034244E">
        <w:t xml:space="preserve">urvey; </w:t>
      </w:r>
      <w:r w:rsidR="00F74A8E">
        <w:t>t</w:t>
      </w:r>
      <w:r w:rsidR="0034244E">
        <w:t xml:space="preserve">ertiary education; </w:t>
      </w:r>
      <w:r w:rsidR="00F74A8E">
        <w:t>t</w:t>
      </w:r>
      <w:r w:rsidR="0034244E">
        <w:t xml:space="preserve">ransition from education and training to employment; </w:t>
      </w:r>
      <w:r w:rsidR="00F74A8E">
        <w:t>t</w:t>
      </w:r>
      <w:r w:rsidR="0034244E">
        <w:t xml:space="preserve">ransition from secondary to further education and training; </w:t>
      </w:r>
      <w:r w:rsidR="00F74A8E">
        <w:t>u</w:t>
      </w:r>
      <w:r w:rsidR="0034244E">
        <w:t xml:space="preserve">niversity; VET in schools; </w:t>
      </w:r>
      <w:r w:rsidR="00F74A8E">
        <w:t>v</w:t>
      </w:r>
      <w:r w:rsidR="0034244E">
        <w:t xml:space="preserve">ocational education and training; </w:t>
      </w:r>
      <w:r w:rsidR="00F74A8E">
        <w:t>y</w:t>
      </w:r>
      <w:r w:rsidR="0034244E">
        <w:t xml:space="preserve">oung worker; </w:t>
      </w:r>
      <w:r w:rsidR="00F74A8E">
        <w:t>y</w:t>
      </w:r>
      <w:r w:rsidR="0034244E">
        <w:t xml:space="preserve">outh; </w:t>
      </w:r>
      <w:r w:rsidR="00F74A8E">
        <w:t>y</w:t>
      </w:r>
      <w:r w:rsidR="0034244E">
        <w:t>outh transitions.</w:t>
      </w:r>
    </w:p>
    <w:p w14:paraId="7D794A83" w14:textId="17409B8F" w:rsidR="00C83D73" w:rsidRDefault="00CB67D2" w:rsidP="007C667B">
      <w:pPr>
        <w:sectPr w:rsidR="00C83D73" w:rsidSect="00930671">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8832" behindDoc="0" locked="0" layoutInCell="1" allowOverlap="1" wp14:anchorId="4128BBFA" wp14:editId="38A3934D">
            <wp:simplePos x="0" y="0"/>
            <wp:positionH relativeFrom="column">
              <wp:posOffset>2160270</wp:posOffset>
            </wp:positionH>
            <wp:positionV relativeFrom="paragraph">
              <wp:posOffset>6817995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6"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9856" behindDoc="0" locked="0" layoutInCell="1" allowOverlap="1" wp14:anchorId="2F7D63F3" wp14:editId="07AAA5B4">
            <wp:simplePos x="0" y="0"/>
            <wp:positionH relativeFrom="column">
              <wp:posOffset>544830</wp:posOffset>
            </wp:positionH>
            <wp:positionV relativeFrom="paragraph">
              <wp:posOffset>6817995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mc:AlternateContent>
          <mc:Choice Requires="wps">
            <w:drawing>
              <wp:anchor distT="0" distB="0" distL="114300" distR="114300" simplePos="0" relativeHeight="251765760" behindDoc="0" locked="0" layoutInCell="1" allowOverlap="1" wp14:anchorId="3556DC8F" wp14:editId="471EE7AD">
                <wp:simplePos x="0" y="0"/>
                <wp:positionH relativeFrom="column">
                  <wp:posOffset>635</wp:posOffset>
                </wp:positionH>
                <wp:positionV relativeFrom="paragraph">
                  <wp:posOffset>1683533</wp:posOffset>
                </wp:positionV>
                <wp:extent cx="5596890" cy="5327015"/>
                <wp:effectExtent l="0" t="0" r="3810" b="6985"/>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32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3895C" w14:textId="2C689003" w:rsidR="00CE088E" w:rsidRPr="00A021FC" w:rsidRDefault="00CE088E" w:rsidP="007C667B">
                            <w:pPr>
                              <w:pStyle w:val="Imprint"/>
                              <w:rPr>
                                <w:b/>
                              </w:rPr>
                            </w:pPr>
                            <w:r w:rsidRPr="00A021FC">
                              <w:rPr>
                                <w:b/>
                              </w:rPr>
                              <w:t xml:space="preserve">© </w:t>
                            </w:r>
                            <w:r w:rsidRPr="008C3142">
                              <w:rPr>
                                <w:b/>
                              </w:rPr>
                              <w:t>Commonwealth of Australia</w:t>
                            </w:r>
                            <w:r w:rsidRPr="00A021FC">
                              <w:rPr>
                                <w:b/>
                              </w:rPr>
                              <w:t xml:space="preserve">, </w:t>
                            </w:r>
                            <w:r w:rsidRPr="00CB67D2">
                              <w:rPr>
                                <w:b/>
                              </w:rPr>
                              <w:t>20</w:t>
                            </w:r>
                            <w:r>
                              <w:rPr>
                                <w:b/>
                              </w:rPr>
                              <w:t>20</w:t>
                            </w:r>
                          </w:p>
                          <w:p w14:paraId="72497A8A" w14:textId="77777777" w:rsidR="00CE088E" w:rsidRDefault="00CE088E" w:rsidP="007C667B">
                            <w:pPr>
                              <w:pStyle w:val="Imprint"/>
                              <w:rPr>
                                <w:sz w:val="20"/>
                              </w:rPr>
                            </w:pPr>
                            <w:r w:rsidRPr="00E80270">
                              <w:rPr>
                                <w:noProof/>
                                <w:sz w:val="20"/>
                                <w:lang w:eastAsia="en-AU"/>
                              </w:rPr>
                              <w:drawing>
                                <wp:inline distT="0" distB="0" distL="0" distR="0" wp14:anchorId="7EDE50F2" wp14:editId="31D447FB">
                                  <wp:extent cx="850265" cy="302895"/>
                                  <wp:effectExtent l="19050" t="0" r="6985" b="0"/>
                                  <wp:docPr id="2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8"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07EF0489" w14:textId="77777777" w:rsidR="00CE088E" w:rsidRDefault="00CE088E"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778DADBE" w14:textId="77777777" w:rsidR="00CE088E" w:rsidRPr="001D321A" w:rsidRDefault="00CE088E"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114F5826" w14:textId="77777777" w:rsidR="00CE088E" w:rsidRDefault="00CE088E"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2BF562AD" w14:textId="44A8202B" w:rsidR="00CE088E" w:rsidRPr="00A021FC" w:rsidRDefault="00CE088E" w:rsidP="001D321A">
                            <w:pPr>
                              <w:pStyle w:val="Imprint"/>
                            </w:pPr>
                            <w:r w:rsidRPr="00A021FC">
                              <w:t xml:space="preserve">This document should be attributed as </w:t>
                            </w:r>
                            <w:r w:rsidRPr="00CB67D2">
                              <w:t xml:space="preserve">Forrest, C &amp; Scobie, C 2019, </w:t>
                            </w:r>
                            <w:r>
                              <w:rPr>
                                <w:i/>
                              </w:rPr>
                              <w:t>25 years of LSAY: Research from the Longitudinal Surveys of Australian Youth</w:t>
                            </w:r>
                            <w:r w:rsidRPr="00A021FC">
                              <w:rPr>
                                <w:i/>
                              </w:rPr>
                              <w:t>,</w:t>
                            </w:r>
                            <w:r w:rsidRPr="00A021FC">
                              <w:t xml:space="preserve"> NCVER, Adelaide.</w:t>
                            </w:r>
                            <w:r>
                              <w:t xml:space="preserve"> </w:t>
                            </w:r>
                          </w:p>
                          <w:p w14:paraId="7FD75B83" w14:textId="55960973" w:rsidR="00CE088E" w:rsidRPr="001D321A" w:rsidRDefault="00CE088E"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p>
                          <w:p w14:paraId="03DEBA89" w14:textId="3D59C37C" w:rsidR="00CE088E" w:rsidRPr="00C9777B" w:rsidRDefault="00CE088E" w:rsidP="001D321A">
                            <w:pPr>
                              <w:pStyle w:val="Imprint"/>
                            </w:pPr>
                            <w:r>
                              <w:rPr>
                                <w:smallCaps/>
                              </w:rPr>
                              <w:t>COVER IMAGE: GETTY IMAGES.</w:t>
                            </w:r>
                          </w:p>
                          <w:p w14:paraId="12A6DCAF" w14:textId="30F3CD78" w:rsidR="00CE088E" w:rsidRDefault="00CE088E" w:rsidP="007C667B">
                            <w:pPr>
                              <w:pStyle w:val="Imprint"/>
                              <w:rPr>
                                <w:color w:val="000000"/>
                              </w:rPr>
                            </w:pPr>
                            <w:r w:rsidRPr="005C2FCF">
                              <w:rPr>
                                <w:color w:val="000000"/>
                              </w:rPr>
                              <w:t>ISBN</w:t>
                            </w:r>
                            <w:r>
                              <w:rPr>
                                <w:color w:val="000000"/>
                              </w:rPr>
                              <w:t xml:space="preserve"> </w:t>
                            </w:r>
                            <w:r w:rsidRPr="005C2FCF">
                              <w:rPr>
                                <w:color w:val="000000"/>
                              </w:rPr>
                              <w:tab/>
                            </w:r>
                            <w:r w:rsidRPr="005A1893">
                              <w:rPr>
                                <w:color w:val="000000"/>
                              </w:rPr>
                              <w:t>978</w:t>
                            </w:r>
                            <w:r>
                              <w:rPr>
                                <w:color w:val="000000"/>
                              </w:rPr>
                              <w:t>-</w:t>
                            </w:r>
                            <w:r w:rsidRPr="005A1893">
                              <w:rPr>
                                <w:color w:val="000000"/>
                              </w:rPr>
                              <w:t>1</w:t>
                            </w:r>
                            <w:r>
                              <w:rPr>
                                <w:color w:val="000000"/>
                              </w:rPr>
                              <w:t>-</w:t>
                            </w:r>
                            <w:r w:rsidRPr="005A1893">
                              <w:rPr>
                                <w:color w:val="000000"/>
                              </w:rPr>
                              <w:t>925717</w:t>
                            </w:r>
                            <w:r>
                              <w:rPr>
                                <w:color w:val="000000"/>
                              </w:rPr>
                              <w:t>-</w:t>
                            </w:r>
                            <w:r w:rsidRPr="005A1893">
                              <w:rPr>
                                <w:color w:val="000000"/>
                              </w:rPr>
                              <w:t>37</w:t>
                            </w:r>
                            <w:r>
                              <w:rPr>
                                <w:color w:val="000000"/>
                              </w:rPr>
                              <w:t>-</w:t>
                            </w:r>
                            <w:r w:rsidRPr="005A1893">
                              <w:rPr>
                                <w:color w:val="000000"/>
                              </w:rPr>
                              <w:t>2</w:t>
                            </w:r>
                          </w:p>
                          <w:p w14:paraId="266CE0EB" w14:textId="38A6F7CA" w:rsidR="00CE088E" w:rsidRPr="005C2FCF" w:rsidRDefault="00CE088E" w:rsidP="00CE248F">
                            <w:pPr>
                              <w:pStyle w:val="Imprint"/>
                              <w:spacing w:before="0"/>
                              <w:rPr>
                                <w:color w:val="000000"/>
                              </w:rPr>
                            </w:pPr>
                            <w:r w:rsidRPr="005C2FCF">
                              <w:rPr>
                                <w:color w:val="000000"/>
                              </w:rPr>
                              <w:t>TD/TNC</w:t>
                            </w:r>
                            <w:r w:rsidRPr="005C2FCF">
                              <w:rPr>
                                <w:color w:val="000000"/>
                              </w:rPr>
                              <w:tab/>
                            </w:r>
                            <w:r>
                              <w:rPr>
                                <w:color w:val="000000"/>
                              </w:rPr>
                              <w:t>137.02</w:t>
                            </w:r>
                          </w:p>
                          <w:p w14:paraId="39FD6BD1" w14:textId="77777777" w:rsidR="00CE088E" w:rsidRPr="005C2FCF" w:rsidRDefault="00CE088E"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4A1DFF9A" w14:textId="77777777" w:rsidR="00CE088E" w:rsidRPr="005C2FCF" w:rsidRDefault="00CE088E"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7BE38624" w14:textId="77777777" w:rsidR="00CE088E" w:rsidRPr="002C3573" w:rsidRDefault="00CE088E"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9"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20" w:history="1">
                              <w:r w:rsidRPr="001D75B8">
                                <w:rPr>
                                  <w:rStyle w:val="Hyperlink"/>
                                  <w:sz w:val="16"/>
                                  <w:szCs w:val="16"/>
                                </w:rPr>
                                <w:t>https://www.lsay.edu.au</w:t>
                              </w:r>
                            </w:hyperlink>
                            <w:r w:rsidRPr="002C3573">
                              <w:t>&gt;</w:t>
                            </w:r>
                          </w:p>
                          <w:p w14:paraId="629E130E" w14:textId="77777777" w:rsidR="00CE088E" w:rsidRPr="00D212FA" w:rsidRDefault="00CE088E"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6DC8F" id="_x0000_t202" coordsize="21600,21600" o:spt="202" path="m,l,21600r21600,l21600,xe">
                <v:stroke joinstyle="miter"/>
                <v:path gradientshapeok="t" o:connecttype="rect"/>
              </v:shapetype>
              <v:shape id="Text Box 14" o:spid="_x0000_s1026" type="#_x0000_t202" style="position:absolute;margin-left:.05pt;margin-top:132.55pt;width:440.7pt;height:419.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inWswIAALMFAAAOAAAAZHJzL2Uyb0RvYy54bWysVG1vmzAQ/j5p/8Hyd8pLIQFUUrUhTJO6&#10;F6ndDzBggjWwme0Eumn/fWeTpGmrSdM2PiD7fH7unrvHd3U99R3aU6mY4Bn2LzyMKK9Ezfg2w18e&#10;CifGSGnCa9IJTjP8SBW+Xr19czUOKQ1EK7qaSgQgXKXjkOFW6yF1XVW1tCfqQgyUw2EjZE80bOXW&#10;rSUZAb3v3MDzFu4oZD1IUVGlwJrPh3hl8ZuGVvpT0yiqUZdhyE3bv7T/0vzd1RVJt5IMLasOaZC/&#10;yKInjEPQE1RONEE7yV5B9aySQolGX1Sid0XTsIpaDsDG916wuW/JQC0XKI4aTmVS/w+2+rj/LBGr&#10;MxxixEkPLXqgk0a3YkJ+aMozDioFr/sB/PQEdmizpaqGO1F9VYiLdUv4lt5IKcaWkhrS881N9+zq&#10;jKMMSDl+EDXEITstLNDUyN7UDqqBAB3a9HhqjcmlAmMUJYs4gaMKzqLLYOn5kY1B0uP1QSr9jooe&#10;mUWGJfTewpP9ndImHZIeXUw0LgrWdbb/HX9mAMfZAsHhqjkzadh2/ki8ZBNv4tAJg8XGCb08d26K&#10;degsCn8Z5Zf5ep37P01cP0xbVteUmzBHafnhn7XuIPJZFCdxKdGx2sCZlJTclutOoj0BaRf2OxTk&#10;zM19noYtAnB5QckPQu82SJxiES+dsAgjJ1l6seP5yW2y8MIkzIvnlO4Yp/9OCY0ZTqIgmtX0W26e&#10;/V5zI2nPNAyPjvUZjk9OJDUa3PDatlYT1s3rs1KY9J9KAe0+Ntoq1oh0lqueyglQjIxLUT+CdqUA&#10;ZYEKYeLBohXyO0YjTI8Mq287IilG3XsO+jejxi7CaBnARh6t5bmV8AogMlxiNC/Xeh5Nu0GybQsR&#10;5pfGxQ28lYZZFT9lc3hhMBksmcMUM6PnfG+9nmbt6hcAAAD//wMAUEsDBBQABgAIAAAAIQDG4Gzd&#10;3gAAAAkBAAAPAAAAZHJzL2Rvd25yZXYueG1sTI9BT8MwDIXvSPyHyEhcEEszuqnqmk4DDcGVFWlX&#10;r/HaisYpTbaVf092gpufn/X8vWI92V6cafSdYw1qloAgrp3puNHwWb0+ZiB8QDbYOyYNP+RhXd7e&#10;FJgbd+EPOu9CI2II+xw1tCEMuZS+bsmin7mBOHpHN1oMUY6NNCNeYrjt5TxJltJix/FDiwO9tFR/&#10;7U5WQ/pMR1RVunnbVtP3/uEpVVv5rvX93bRZgQg0hb9juOJHdCgj08Gd2HjRX7UIGubLRRyinWVq&#10;AeIQ9ypJE5BlIf83KH8BAAD//wMAUEsBAi0AFAAGAAgAAAAhALaDOJL+AAAA4QEAABMAAAAAAAAA&#10;AAAAAAAAAAAAAFtDb250ZW50X1R5cGVzXS54bWxQSwECLQAUAAYACAAAACEAOP0h/9YAAACUAQAA&#10;CwAAAAAAAAAAAAAAAAAvAQAAX3JlbHMvLnJlbHNQSwECLQAUAAYACAAAACEAvEIp1rMCAACzBQAA&#10;DgAAAAAAAAAAAAAAAAAuAgAAZHJzL2Uyb0RvYy54bWxQSwECLQAUAAYACAAAACEAxuBs3d4AAAAJ&#10;AQAADwAAAAAAAAAAAAAAAAANBQAAZHJzL2Rvd25yZXYueG1sUEsFBgAAAAAEAAQA8wAAABgGAAAA&#10;AA==&#10;" filled="f" stroked="f">
                <v:textbox inset="0,,0">
                  <w:txbxContent>
                    <w:p w14:paraId="74D3895C" w14:textId="2C689003" w:rsidR="00CE088E" w:rsidRPr="00A021FC" w:rsidRDefault="00CE088E" w:rsidP="007C667B">
                      <w:pPr>
                        <w:pStyle w:val="Imprint"/>
                        <w:rPr>
                          <w:b/>
                        </w:rPr>
                      </w:pPr>
                      <w:r w:rsidRPr="00A021FC">
                        <w:rPr>
                          <w:b/>
                        </w:rPr>
                        <w:t xml:space="preserve">© </w:t>
                      </w:r>
                      <w:r w:rsidRPr="008C3142">
                        <w:rPr>
                          <w:b/>
                        </w:rPr>
                        <w:t>Commonwealth of Australia</w:t>
                      </w:r>
                      <w:r w:rsidRPr="00A021FC">
                        <w:rPr>
                          <w:b/>
                        </w:rPr>
                        <w:t xml:space="preserve">, </w:t>
                      </w:r>
                      <w:r w:rsidRPr="00CB67D2">
                        <w:rPr>
                          <w:b/>
                        </w:rPr>
                        <w:t>20</w:t>
                      </w:r>
                      <w:r>
                        <w:rPr>
                          <w:b/>
                        </w:rPr>
                        <w:t>20</w:t>
                      </w:r>
                    </w:p>
                    <w:p w14:paraId="72497A8A" w14:textId="77777777" w:rsidR="00CE088E" w:rsidRDefault="00CE088E" w:rsidP="007C667B">
                      <w:pPr>
                        <w:pStyle w:val="Imprint"/>
                        <w:rPr>
                          <w:sz w:val="20"/>
                        </w:rPr>
                      </w:pPr>
                      <w:r w:rsidRPr="00E80270">
                        <w:rPr>
                          <w:noProof/>
                          <w:sz w:val="20"/>
                          <w:lang w:eastAsia="en-AU"/>
                        </w:rPr>
                        <w:drawing>
                          <wp:inline distT="0" distB="0" distL="0" distR="0" wp14:anchorId="7EDE50F2" wp14:editId="31D447FB">
                            <wp:extent cx="850265" cy="302895"/>
                            <wp:effectExtent l="19050" t="0" r="6985" b="0"/>
                            <wp:docPr id="2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8"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07EF0489" w14:textId="77777777" w:rsidR="00CE088E" w:rsidRDefault="00CE088E"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778DADBE" w14:textId="77777777" w:rsidR="00CE088E" w:rsidRPr="001D321A" w:rsidRDefault="00CE088E"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114F5826" w14:textId="77777777" w:rsidR="00CE088E" w:rsidRDefault="00CE088E"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2BF562AD" w14:textId="44A8202B" w:rsidR="00CE088E" w:rsidRPr="00A021FC" w:rsidRDefault="00CE088E" w:rsidP="001D321A">
                      <w:pPr>
                        <w:pStyle w:val="Imprint"/>
                      </w:pPr>
                      <w:r w:rsidRPr="00A021FC">
                        <w:t xml:space="preserve">This document should be attributed as </w:t>
                      </w:r>
                      <w:r w:rsidRPr="00CB67D2">
                        <w:t xml:space="preserve">Forrest, C &amp; Scobie, C 2019, </w:t>
                      </w:r>
                      <w:r>
                        <w:rPr>
                          <w:i/>
                        </w:rPr>
                        <w:t>25 years of LSAY: Research from the Longitudinal Surveys of Australian Youth</w:t>
                      </w:r>
                      <w:r w:rsidRPr="00A021FC">
                        <w:rPr>
                          <w:i/>
                        </w:rPr>
                        <w:t>,</w:t>
                      </w:r>
                      <w:r w:rsidRPr="00A021FC">
                        <w:t xml:space="preserve"> NCVER, Adelaide.</w:t>
                      </w:r>
                      <w:r>
                        <w:t xml:space="preserve"> </w:t>
                      </w:r>
                    </w:p>
                    <w:p w14:paraId="7FD75B83" w14:textId="55960973" w:rsidR="00CE088E" w:rsidRPr="001D321A" w:rsidRDefault="00CE088E"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p>
                    <w:p w14:paraId="03DEBA89" w14:textId="3D59C37C" w:rsidR="00CE088E" w:rsidRPr="00C9777B" w:rsidRDefault="00CE088E" w:rsidP="001D321A">
                      <w:pPr>
                        <w:pStyle w:val="Imprint"/>
                      </w:pPr>
                      <w:r>
                        <w:rPr>
                          <w:smallCaps/>
                        </w:rPr>
                        <w:t>COVER IMAGE: GETTY IMAGES.</w:t>
                      </w:r>
                    </w:p>
                    <w:p w14:paraId="12A6DCAF" w14:textId="30F3CD78" w:rsidR="00CE088E" w:rsidRDefault="00CE088E" w:rsidP="007C667B">
                      <w:pPr>
                        <w:pStyle w:val="Imprint"/>
                        <w:rPr>
                          <w:color w:val="000000"/>
                        </w:rPr>
                      </w:pPr>
                      <w:r w:rsidRPr="005C2FCF">
                        <w:rPr>
                          <w:color w:val="000000"/>
                        </w:rPr>
                        <w:t>ISBN</w:t>
                      </w:r>
                      <w:r>
                        <w:rPr>
                          <w:color w:val="000000"/>
                        </w:rPr>
                        <w:t xml:space="preserve"> </w:t>
                      </w:r>
                      <w:r w:rsidRPr="005C2FCF">
                        <w:rPr>
                          <w:color w:val="000000"/>
                        </w:rPr>
                        <w:tab/>
                      </w:r>
                      <w:r w:rsidRPr="005A1893">
                        <w:rPr>
                          <w:color w:val="000000"/>
                        </w:rPr>
                        <w:t>978</w:t>
                      </w:r>
                      <w:r>
                        <w:rPr>
                          <w:color w:val="000000"/>
                        </w:rPr>
                        <w:t>-</w:t>
                      </w:r>
                      <w:r w:rsidRPr="005A1893">
                        <w:rPr>
                          <w:color w:val="000000"/>
                        </w:rPr>
                        <w:t>1</w:t>
                      </w:r>
                      <w:r>
                        <w:rPr>
                          <w:color w:val="000000"/>
                        </w:rPr>
                        <w:t>-</w:t>
                      </w:r>
                      <w:r w:rsidRPr="005A1893">
                        <w:rPr>
                          <w:color w:val="000000"/>
                        </w:rPr>
                        <w:t>925717</w:t>
                      </w:r>
                      <w:r>
                        <w:rPr>
                          <w:color w:val="000000"/>
                        </w:rPr>
                        <w:t>-</w:t>
                      </w:r>
                      <w:r w:rsidRPr="005A1893">
                        <w:rPr>
                          <w:color w:val="000000"/>
                        </w:rPr>
                        <w:t>37</w:t>
                      </w:r>
                      <w:r>
                        <w:rPr>
                          <w:color w:val="000000"/>
                        </w:rPr>
                        <w:t>-</w:t>
                      </w:r>
                      <w:r w:rsidRPr="005A1893">
                        <w:rPr>
                          <w:color w:val="000000"/>
                        </w:rPr>
                        <w:t>2</w:t>
                      </w:r>
                    </w:p>
                    <w:p w14:paraId="266CE0EB" w14:textId="38A6F7CA" w:rsidR="00CE088E" w:rsidRPr="005C2FCF" w:rsidRDefault="00CE088E" w:rsidP="00CE248F">
                      <w:pPr>
                        <w:pStyle w:val="Imprint"/>
                        <w:spacing w:before="0"/>
                        <w:rPr>
                          <w:color w:val="000000"/>
                        </w:rPr>
                      </w:pPr>
                      <w:r w:rsidRPr="005C2FCF">
                        <w:rPr>
                          <w:color w:val="000000"/>
                        </w:rPr>
                        <w:t>TD/TNC</w:t>
                      </w:r>
                      <w:r w:rsidRPr="005C2FCF">
                        <w:rPr>
                          <w:color w:val="000000"/>
                        </w:rPr>
                        <w:tab/>
                      </w:r>
                      <w:r>
                        <w:rPr>
                          <w:color w:val="000000"/>
                        </w:rPr>
                        <w:t>137.02</w:t>
                      </w:r>
                    </w:p>
                    <w:p w14:paraId="39FD6BD1" w14:textId="77777777" w:rsidR="00CE088E" w:rsidRPr="005C2FCF" w:rsidRDefault="00CE088E"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4A1DFF9A" w14:textId="77777777" w:rsidR="00CE088E" w:rsidRPr="005C2FCF" w:rsidRDefault="00CE088E"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7BE38624" w14:textId="77777777" w:rsidR="00CE088E" w:rsidRPr="002C3573" w:rsidRDefault="00CE088E"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1"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22" w:history="1">
                        <w:r w:rsidRPr="001D75B8">
                          <w:rPr>
                            <w:rStyle w:val="Hyperlink"/>
                            <w:sz w:val="16"/>
                            <w:szCs w:val="16"/>
                          </w:rPr>
                          <w:t>https://www.lsay.edu.au</w:t>
                        </w:r>
                      </w:hyperlink>
                      <w:r w:rsidRPr="002C3573">
                        <w:t>&gt;</w:t>
                      </w:r>
                    </w:p>
                    <w:p w14:paraId="629E130E" w14:textId="77777777" w:rsidR="00CE088E" w:rsidRPr="00D212FA" w:rsidRDefault="00CE088E"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p>
    <w:p w14:paraId="2CAFD00E" w14:textId="09F4F514" w:rsidR="006A12B0" w:rsidRDefault="00146364" w:rsidP="006A12B0">
      <w:pPr>
        <w:pStyle w:val="Heading1"/>
      </w:pPr>
      <w:bookmarkStart w:id="17" w:name="_Toc19803883"/>
      <w:r>
        <w:lastRenderedPageBreak/>
        <w:t>Foreword</w:t>
      </w:r>
      <w:bookmarkEnd w:id="17"/>
    </w:p>
    <w:p w14:paraId="543261A1" w14:textId="6BF32A53" w:rsidR="004B23CC" w:rsidRDefault="00BA6D5A" w:rsidP="00A5176E">
      <w:pPr>
        <w:pStyle w:val="Text"/>
      </w:pPr>
      <w:r>
        <w:t>The Longitudinal Surveys of Australian Youth (LSAY) are a series of nationally representative surveys of young people</w:t>
      </w:r>
      <w:r w:rsidR="00401A3B">
        <w:t>,</w:t>
      </w:r>
      <w:r w:rsidR="004B23CC">
        <w:t xml:space="preserve"> which</w:t>
      </w:r>
      <w:r>
        <w:t xml:space="preserve"> follow their transitions from compulsory schooling to post-school education and</w:t>
      </w:r>
      <w:r w:rsidR="004B23CC">
        <w:t xml:space="preserve"> into</w:t>
      </w:r>
      <w:r>
        <w:t xml:space="preserve"> employment. </w:t>
      </w:r>
      <w:r w:rsidR="004B23CC">
        <w:t>The survey program is administered by the National Centre for Vocational Education Research (NCVER) on behalf of the Australian Government Department of Education</w:t>
      </w:r>
      <w:r w:rsidR="001F2B7A">
        <w:t>, Skills and Employment</w:t>
      </w:r>
      <w:r w:rsidR="004B23CC">
        <w:t>.</w:t>
      </w:r>
    </w:p>
    <w:p w14:paraId="31EC81D7" w14:textId="240F4845" w:rsidR="00BA6D5A" w:rsidRDefault="004B23CC">
      <w:pPr>
        <w:pStyle w:val="Text"/>
      </w:pPr>
      <w:r>
        <w:t>LSAY commenced in</w:t>
      </w:r>
      <w:r w:rsidR="00BA6D5A">
        <w:t xml:space="preserve"> 1995 and </w:t>
      </w:r>
      <w:r>
        <w:t>follows over</w:t>
      </w:r>
      <w:r w:rsidR="00BA6D5A">
        <w:t xml:space="preserve"> 10 000 young Australians </w:t>
      </w:r>
      <w:r>
        <w:t xml:space="preserve">from each of six cohorts from the ages of 15 to 25. </w:t>
      </w:r>
      <w:r w:rsidR="00BA6D5A">
        <w:t>As one of the few longitudinal surveys in the world with multiple cohorts, LSAY gives researchers and policymakers insight into the diverse pathways taken by young people in Australia</w:t>
      </w:r>
      <w:r>
        <w:t xml:space="preserve"> and how these have changed over time.</w:t>
      </w:r>
    </w:p>
    <w:p w14:paraId="57DF82CB" w14:textId="22F10136" w:rsidR="00EB7F78" w:rsidRDefault="00BA6D5A" w:rsidP="009C32DF">
      <w:pPr>
        <w:pStyle w:val="Text"/>
      </w:pPr>
      <w:r>
        <w:t xml:space="preserve">This publication presents research highlights from the past </w:t>
      </w:r>
      <w:r w:rsidR="00CA02CA">
        <w:t>25 years</w:t>
      </w:r>
      <w:r>
        <w:t xml:space="preserve"> of the LSAY program</w:t>
      </w:r>
      <w:r w:rsidR="004B23CC">
        <w:t xml:space="preserve">, with a focus on </w:t>
      </w:r>
      <w:r w:rsidR="00F86399">
        <w:t xml:space="preserve">schooling, VET in </w:t>
      </w:r>
      <w:proofErr w:type="gramStart"/>
      <w:r w:rsidR="00F86399">
        <w:t>schools</w:t>
      </w:r>
      <w:proofErr w:type="gramEnd"/>
      <w:r w:rsidR="00F86399">
        <w:t xml:space="preserve"> programs, the influences of socioeconomic status and demographics on later opportunities, and pathways taken from school into further education and the workforce.</w:t>
      </w:r>
      <w:r w:rsidR="00EB7F78">
        <w:t xml:space="preserve"> </w:t>
      </w:r>
      <w:r w:rsidR="004B23CC">
        <w:t>T</w:t>
      </w:r>
      <w:r w:rsidR="00B057A2">
        <w:t xml:space="preserve">his publication </w:t>
      </w:r>
      <w:r w:rsidR="004B23CC">
        <w:t>is not</w:t>
      </w:r>
      <w:r w:rsidR="00E0437C">
        <w:t xml:space="preserve"> an exhaustive reflection of LSAY’s long research history but </w:t>
      </w:r>
      <w:r w:rsidR="0007558B">
        <w:t>aims to showcase the value of the data</w:t>
      </w:r>
      <w:r w:rsidR="00E0437C">
        <w:t xml:space="preserve">. </w:t>
      </w:r>
      <w:r w:rsidR="0007558B">
        <w:t>Research has</w:t>
      </w:r>
      <w:r w:rsidR="00E0437C">
        <w:t xml:space="preserve"> been chosen to demonstrate the </w:t>
      </w:r>
      <w:r w:rsidR="0007558B">
        <w:t>broad</w:t>
      </w:r>
      <w:r w:rsidR="00E0437C">
        <w:t xml:space="preserve"> utility of LSAY, and we are grateful to the </w:t>
      </w:r>
      <w:r w:rsidR="003D1F18">
        <w:t xml:space="preserve">authors </w:t>
      </w:r>
      <w:r w:rsidR="0007558B">
        <w:t>both within and outside</w:t>
      </w:r>
      <w:r w:rsidR="00E0437C">
        <w:t xml:space="preserve"> NCVER for agreeing to showcase their research.</w:t>
      </w:r>
      <w:r w:rsidR="00F86399">
        <w:t xml:space="preserve"> </w:t>
      </w:r>
    </w:p>
    <w:p w14:paraId="690C6F9D" w14:textId="0131A708" w:rsidR="009C32DF" w:rsidRDefault="00500EF2" w:rsidP="009C32DF">
      <w:pPr>
        <w:pStyle w:val="Text"/>
      </w:pPr>
      <w:r>
        <w:t>M</w:t>
      </w:r>
      <w:r w:rsidR="009C32DF">
        <w:t xml:space="preserve">ore than 300 studies have been published using LSAY data, </w:t>
      </w:r>
      <w:r w:rsidR="00455FE6">
        <w:t>and</w:t>
      </w:r>
      <w:r w:rsidR="009C32DF">
        <w:t xml:space="preserve"> an additional 2400 studies have cited work published under the LSAY research program.</w:t>
      </w:r>
      <w:r w:rsidR="00F86399">
        <w:t xml:space="preserve"> </w:t>
      </w:r>
      <w:r w:rsidR="009C32DF">
        <w:t>Interest in LSAY data continues to increase, with 2018 and 2019 setting consecutive records for numbers of applications from prospective researchers.</w:t>
      </w:r>
    </w:p>
    <w:p w14:paraId="3C1F1A67" w14:textId="6893AF13" w:rsidR="00F86399" w:rsidRDefault="00F86399" w:rsidP="009C32DF">
      <w:pPr>
        <w:pStyle w:val="Text"/>
      </w:pPr>
      <w:r>
        <w:t xml:space="preserve">The past </w:t>
      </w:r>
      <w:r w:rsidRPr="00CB1FDE">
        <w:t xml:space="preserve">two </w:t>
      </w:r>
      <w:r w:rsidR="00CB1FDE">
        <w:t xml:space="preserve">and half </w:t>
      </w:r>
      <w:r w:rsidRPr="00CB1FDE">
        <w:t>decades</w:t>
      </w:r>
      <w:r>
        <w:t xml:space="preserve"> of LSAY research have generated a wealth of interesting, insightful, and sometimes surprising findings. With the newest cohort incorporating even more diverse modules about life experiences and the issues facing those mak</w:t>
      </w:r>
      <w:r w:rsidR="003D1F18">
        <w:t>ing</w:t>
      </w:r>
      <w:r>
        <w:t xml:space="preserve"> the transition from secondary school through to employment, LSAY continue</w:t>
      </w:r>
      <w:r w:rsidR="004E716B">
        <w:t>s</w:t>
      </w:r>
      <w:r>
        <w:t xml:space="preserve"> to be an invaluable resource for learning about the experiences of young people in Australia.</w:t>
      </w:r>
    </w:p>
    <w:p w14:paraId="7502E52B" w14:textId="40C42432" w:rsidR="00A5176E" w:rsidRDefault="00A5176E" w:rsidP="006A12B0">
      <w:pPr>
        <w:pStyle w:val="Text"/>
      </w:pPr>
    </w:p>
    <w:p w14:paraId="5161D5E2" w14:textId="77777777" w:rsidR="00A5176E" w:rsidRPr="005C2FCF" w:rsidRDefault="00A5176E" w:rsidP="00A5176E">
      <w:pPr>
        <w:pStyle w:val="Text"/>
      </w:pPr>
      <w:r>
        <w:t>Simon Walker</w:t>
      </w:r>
      <w:r>
        <w:br/>
      </w:r>
      <w:r w:rsidRPr="005C2FCF">
        <w:t>Managing Director, NCVER</w:t>
      </w:r>
    </w:p>
    <w:p w14:paraId="31818897" w14:textId="77777777" w:rsidR="00A5176E" w:rsidRDefault="00A5176E" w:rsidP="006A12B0">
      <w:pPr>
        <w:pStyle w:val="Text"/>
      </w:pPr>
    </w:p>
    <w:p w14:paraId="5B1A36C1" w14:textId="64585B34" w:rsidR="006A12B0" w:rsidRDefault="006A12B0" w:rsidP="006A12B0">
      <w:pPr>
        <w:pStyle w:val="Heading1"/>
      </w:pPr>
      <w:r>
        <w:br w:type="page"/>
      </w:r>
    </w:p>
    <w:p w14:paraId="312C752F" w14:textId="690F64D4" w:rsidR="00F33784" w:rsidRPr="00AE31AE" w:rsidRDefault="00146364" w:rsidP="00E612BF">
      <w:pPr>
        <w:pStyle w:val="Heading1"/>
      </w:pPr>
      <w:bookmarkStart w:id="18" w:name="_Toc19803884"/>
      <w:bookmarkStart w:id="19" w:name="_Hlk19798244"/>
      <w:r>
        <w:lastRenderedPageBreak/>
        <w:t>Executive summary</w:t>
      </w:r>
      <w:bookmarkEnd w:id="18"/>
    </w:p>
    <w:p w14:paraId="11984DA4" w14:textId="297AD27D" w:rsidR="00CE248F" w:rsidRPr="003128DE" w:rsidRDefault="007B0C6C" w:rsidP="003128DE">
      <w:pPr>
        <w:pStyle w:val="Heading2"/>
        <w:rPr>
          <w:i/>
        </w:rPr>
      </w:pPr>
      <w:bookmarkStart w:id="20" w:name="_Toc98394877"/>
      <w:bookmarkStart w:id="21" w:name="_Toc98394878"/>
      <w:bookmarkStart w:id="22" w:name="_Toc296423682"/>
      <w:bookmarkStart w:id="23" w:name="_Toc296497513"/>
      <w:r w:rsidRPr="003128DE">
        <w:rPr>
          <w:i/>
        </w:rPr>
        <w:t>2</w:t>
      </w:r>
      <w:r w:rsidR="00CA02CA" w:rsidRPr="003128DE">
        <w:rPr>
          <w:i/>
        </w:rPr>
        <w:t>5</w:t>
      </w:r>
      <w:r w:rsidRPr="003128DE">
        <w:rPr>
          <w:i/>
        </w:rPr>
        <w:t xml:space="preserve"> years of LSAY: </w:t>
      </w:r>
      <w:r w:rsidR="00341C4D" w:rsidRPr="003128DE">
        <w:rPr>
          <w:i/>
        </w:rPr>
        <w:t>R</w:t>
      </w:r>
      <w:r w:rsidRPr="003128DE">
        <w:rPr>
          <w:i/>
        </w:rPr>
        <w:t xml:space="preserve">esearch from the </w:t>
      </w:r>
      <w:r w:rsidR="001F5E6A" w:rsidRPr="003128DE">
        <w:rPr>
          <w:i/>
        </w:rPr>
        <w:t xml:space="preserve">Longitudinal </w:t>
      </w:r>
      <w:r w:rsidRPr="003128DE">
        <w:rPr>
          <w:i/>
        </w:rPr>
        <w:t>Surveys of Australian Youth</w:t>
      </w:r>
    </w:p>
    <w:p w14:paraId="1AE73D95" w14:textId="4E062C9C" w:rsidR="00CE248F" w:rsidRDefault="007B0C6C" w:rsidP="008B72C5">
      <w:pPr>
        <w:pStyle w:val="Heading3"/>
      </w:pPr>
      <w:bookmarkStart w:id="24" w:name="_Toc296423681"/>
      <w:bookmarkStart w:id="25" w:name="_Toc296497512"/>
      <w:r>
        <w:t>Edited by Cameron Forrest and Charlotte Scobie,</w:t>
      </w:r>
      <w:r w:rsidR="00CE248F" w:rsidRPr="005C2FCF">
        <w:t xml:space="preserve"> </w:t>
      </w:r>
      <w:bookmarkEnd w:id="20"/>
      <w:bookmarkEnd w:id="24"/>
      <w:bookmarkEnd w:id="25"/>
      <w:r>
        <w:t>NCVER</w:t>
      </w:r>
    </w:p>
    <w:bookmarkEnd w:id="21"/>
    <w:bookmarkEnd w:id="22"/>
    <w:bookmarkEnd w:id="23"/>
    <w:p w14:paraId="16436DA2" w14:textId="7FCAF118" w:rsidR="001F5E6A" w:rsidRDefault="00B37B40" w:rsidP="005955B2">
      <w:pPr>
        <w:pStyle w:val="Text"/>
      </w:pPr>
      <w:r>
        <w:t>The Longitudinal Surveys of Australian Youth (LSAY) are a series of nationally representative surveys of young people that follow their transitions from compulsory schooling to post-school education and employment. The program has been conducted since 1995 and comprises six separate cohorts of more than 10 000 young Australians each.</w:t>
      </w:r>
    </w:p>
    <w:p w14:paraId="27902E17" w14:textId="2BD92BDF" w:rsidR="00B37B40" w:rsidRDefault="00B37B40" w:rsidP="005955B2">
      <w:pPr>
        <w:pStyle w:val="Text"/>
      </w:pPr>
      <w:r>
        <w:t xml:space="preserve">LSAY aims to understand the lives of young people, </w:t>
      </w:r>
      <w:r w:rsidR="000E47DF">
        <w:t xml:space="preserve">and as a longitudinal dataset spanning more than </w:t>
      </w:r>
      <w:r w:rsidR="00CA02CA">
        <w:t>25 years</w:t>
      </w:r>
      <w:r w:rsidR="000E47DF">
        <w:t>, it provides detailed information relating to the transitions and pathways of young people. Survey items focus on education, employment, and changes in life circumstances as young people leave school and prepare to enter the work force.</w:t>
      </w:r>
    </w:p>
    <w:p w14:paraId="7B8D6D49" w14:textId="11EC495F" w:rsidR="000E47DF" w:rsidRDefault="000E47DF" w:rsidP="005955B2">
      <w:pPr>
        <w:pStyle w:val="Text"/>
      </w:pPr>
      <w:r>
        <w:t>The content of the LSAY datasets can be loosely organised into four major areas:</w:t>
      </w:r>
    </w:p>
    <w:p w14:paraId="30C78D91" w14:textId="7889141E" w:rsidR="000E47DF" w:rsidRDefault="000E47DF" w:rsidP="000E47DF">
      <w:pPr>
        <w:pStyle w:val="Text"/>
        <w:numPr>
          <w:ilvl w:val="0"/>
          <w:numId w:val="65"/>
        </w:numPr>
      </w:pPr>
      <w:r>
        <w:t>Demographics, such as gender, country of birth, indigeneity, socioeconomic status, and parents’ education and occupation levels</w:t>
      </w:r>
    </w:p>
    <w:p w14:paraId="3DD5A940" w14:textId="43D5193D" w:rsidR="000E47DF" w:rsidRDefault="000E47DF" w:rsidP="000E47DF">
      <w:pPr>
        <w:pStyle w:val="Text"/>
        <w:numPr>
          <w:ilvl w:val="0"/>
          <w:numId w:val="65"/>
        </w:numPr>
      </w:pPr>
      <w:r>
        <w:t>Education, including school characteristics, subject choice, post-school plans, higher education, and vocational education and training (VET)</w:t>
      </w:r>
    </w:p>
    <w:p w14:paraId="61360AC1" w14:textId="60929756" w:rsidR="000E47DF" w:rsidRDefault="000E47DF" w:rsidP="000E47DF">
      <w:pPr>
        <w:pStyle w:val="Text"/>
        <w:numPr>
          <w:ilvl w:val="0"/>
          <w:numId w:val="65"/>
        </w:numPr>
      </w:pPr>
      <w:r>
        <w:t>Employment, including hours worked, wages and benefits received, job-seeking methods, and job satisfaction</w:t>
      </w:r>
    </w:p>
    <w:p w14:paraId="72C4B0A8" w14:textId="16846EA8" w:rsidR="000E47DF" w:rsidRDefault="000E47DF" w:rsidP="000E47DF">
      <w:pPr>
        <w:pStyle w:val="Text"/>
        <w:numPr>
          <w:ilvl w:val="0"/>
          <w:numId w:val="65"/>
        </w:numPr>
      </w:pPr>
      <w:r>
        <w:t>‘Social’, which broadly includes living arrangements, marital status, financial difficulties, volunteering activities, and life satisfaction.</w:t>
      </w:r>
    </w:p>
    <w:p w14:paraId="7195DC80" w14:textId="277D0E78" w:rsidR="000E47DF" w:rsidRDefault="000E47DF" w:rsidP="000E47DF">
      <w:pPr>
        <w:pStyle w:val="Text"/>
      </w:pPr>
      <w:r>
        <w:t>This is by no means an exhaustive list. A complete record of all LSAY items can be found in the online dictionary and variable listing</w:t>
      </w:r>
      <w:r w:rsidR="00AA04E7">
        <w:t xml:space="preserve"> (</w:t>
      </w:r>
      <w:hyperlink r:id="rId23" w:history="1">
        <w:r w:rsidR="00AA04E7" w:rsidRPr="00016E02">
          <w:rPr>
            <w:rStyle w:val="Hyperlink"/>
          </w:rPr>
          <w:t>https://www.lsay.edu.au/publications/user-support-and-documentation</w:t>
        </w:r>
      </w:hyperlink>
      <w:r w:rsidR="00AA04E7">
        <w:t>).</w:t>
      </w:r>
    </w:p>
    <w:p w14:paraId="03A0C7BC" w14:textId="2E31746E" w:rsidR="00AA04E7" w:rsidRDefault="00AA04E7" w:rsidP="000E47DF">
      <w:pPr>
        <w:pStyle w:val="Text"/>
      </w:pPr>
      <w:r>
        <w:t xml:space="preserve">Table 1 summarises the characteristics of the samples comprising the LSAY program. To date, there have been six LSAY cohorts: the first began in 1995 and is referred to as Y95; </w:t>
      </w:r>
      <w:r w:rsidR="005410E0">
        <w:t>further</w:t>
      </w:r>
      <w:r>
        <w:t xml:space="preserve"> cohorts commenced in 1998, 2003, 2006, 2009, and 2015. These are referred to as Y98, Y03, Y06, Y09, and Y15 respectively. The Y95 and Y98 cohorts were drawn from representative samples of Year 9 students, with an average age of 14.5 years. Since 2003, LSAY participants have commenced the program at age 15 years, when they participate in the Programme for International Student Assessment (PISA) while at school. Respondents are then interviewed once per year for a further 10 years, taking part in their final surveys at age 25.</w:t>
      </w:r>
    </w:p>
    <w:p w14:paraId="39FE90A1" w14:textId="20403DCC" w:rsidR="00AA04E7" w:rsidRDefault="00AA04E7" w:rsidP="000E47DF">
      <w:pPr>
        <w:pStyle w:val="Text"/>
      </w:pPr>
      <w:r>
        <w:t xml:space="preserve">LSAY is recognised as one of Australia’s eight core national longitudinal data sets (Department of Social Services 2016). As one of the few longitudinal surveys in the world with multiple cohorts, LSAY gives researchers, policymakers, and those with an interest in youth issues insight into the diverse pathways taken by young people in Australia. Further detail concerning the history and structure of the LSAY program </w:t>
      </w:r>
      <w:r w:rsidR="005410E0">
        <w:t>i</w:t>
      </w:r>
      <w:r>
        <w:t>s provided by Moore and Semo (2019).</w:t>
      </w:r>
    </w:p>
    <w:p w14:paraId="298BA2C1" w14:textId="532B1227" w:rsidR="00AA04E7" w:rsidRDefault="00AA04E7" w:rsidP="00AA04E7">
      <w:pPr>
        <w:pStyle w:val="tabletitle0"/>
      </w:pPr>
      <w:bookmarkStart w:id="26" w:name="_Toc19001658"/>
      <w:r>
        <w:lastRenderedPageBreak/>
        <w:t>Table 1</w:t>
      </w:r>
      <w:r w:rsidR="003128DE">
        <w:tab/>
      </w:r>
      <w:r>
        <w:t>Cohorts of the LSAY</w:t>
      </w:r>
      <w:bookmarkEnd w:id="26"/>
    </w:p>
    <w:tbl>
      <w:tblPr>
        <w:tblStyle w:val="GridTable1Light"/>
        <w:tblW w:w="836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00" w:firstRow="0" w:lastRow="0" w:firstColumn="0" w:lastColumn="0" w:noHBand="0" w:noVBand="0"/>
      </w:tblPr>
      <w:tblGrid>
        <w:gridCol w:w="1168"/>
        <w:gridCol w:w="1667"/>
        <w:gridCol w:w="1560"/>
        <w:gridCol w:w="1275"/>
        <w:gridCol w:w="1560"/>
        <w:gridCol w:w="1134"/>
      </w:tblGrid>
      <w:tr w:rsidR="005410E0" w:rsidRPr="005410E0" w14:paraId="56B55697" w14:textId="77777777" w:rsidTr="00183D9F">
        <w:tc>
          <w:tcPr>
            <w:tcW w:w="1168" w:type="dxa"/>
            <w:tcBorders>
              <w:top w:val="single" w:sz="4" w:space="0" w:color="auto"/>
              <w:bottom w:val="single" w:sz="4" w:space="0" w:color="auto"/>
            </w:tcBorders>
          </w:tcPr>
          <w:p w14:paraId="6CEF96A9" w14:textId="77777777" w:rsidR="00AA04E7" w:rsidRPr="00077706" w:rsidRDefault="00AA04E7" w:rsidP="0091208E">
            <w:pPr>
              <w:pStyle w:val="Tabletext"/>
              <w:rPr>
                <w:b/>
              </w:rPr>
            </w:pPr>
            <w:r w:rsidRPr="00077706">
              <w:rPr>
                <w:b/>
              </w:rPr>
              <w:t>Cohort abbreviation</w:t>
            </w:r>
          </w:p>
        </w:tc>
        <w:tc>
          <w:tcPr>
            <w:tcW w:w="1667" w:type="dxa"/>
            <w:tcBorders>
              <w:top w:val="single" w:sz="4" w:space="0" w:color="auto"/>
              <w:bottom w:val="single" w:sz="4" w:space="0" w:color="auto"/>
            </w:tcBorders>
          </w:tcPr>
          <w:p w14:paraId="3E73B559" w14:textId="77777777" w:rsidR="00AA04E7" w:rsidRPr="00077706" w:rsidRDefault="00AA04E7" w:rsidP="0091208E">
            <w:pPr>
              <w:pStyle w:val="Tabletext"/>
              <w:rPr>
                <w:b/>
              </w:rPr>
            </w:pPr>
            <w:r w:rsidRPr="00077706">
              <w:rPr>
                <w:b/>
              </w:rPr>
              <w:t>Cohort description</w:t>
            </w:r>
          </w:p>
        </w:tc>
        <w:tc>
          <w:tcPr>
            <w:tcW w:w="1560" w:type="dxa"/>
            <w:tcBorders>
              <w:top w:val="single" w:sz="4" w:space="0" w:color="auto"/>
              <w:bottom w:val="single" w:sz="4" w:space="0" w:color="auto"/>
            </w:tcBorders>
          </w:tcPr>
          <w:p w14:paraId="7800FD28" w14:textId="77777777" w:rsidR="00AA04E7" w:rsidRPr="00077706" w:rsidRDefault="00AA04E7" w:rsidP="0091208E">
            <w:pPr>
              <w:pStyle w:val="Tabletext"/>
              <w:rPr>
                <w:b/>
              </w:rPr>
            </w:pPr>
            <w:r w:rsidRPr="00077706">
              <w:rPr>
                <w:b/>
              </w:rPr>
              <w:t>Survey period</w:t>
            </w:r>
          </w:p>
        </w:tc>
        <w:tc>
          <w:tcPr>
            <w:tcW w:w="1275" w:type="dxa"/>
            <w:tcBorders>
              <w:top w:val="single" w:sz="4" w:space="0" w:color="auto"/>
              <w:bottom w:val="single" w:sz="4" w:space="0" w:color="auto"/>
            </w:tcBorders>
          </w:tcPr>
          <w:p w14:paraId="58FCE1F7" w14:textId="77777777" w:rsidR="00AA04E7" w:rsidRPr="00077706" w:rsidRDefault="00AA04E7" w:rsidP="0091208E">
            <w:pPr>
              <w:pStyle w:val="Tabletext"/>
              <w:rPr>
                <w:b/>
              </w:rPr>
            </w:pPr>
            <w:r w:rsidRPr="00077706">
              <w:rPr>
                <w:b/>
              </w:rPr>
              <w:t>Age when first surveyed</w:t>
            </w:r>
          </w:p>
        </w:tc>
        <w:tc>
          <w:tcPr>
            <w:tcW w:w="1560" w:type="dxa"/>
            <w:tcBorders>
              <w:top w:val="single" w:sz="4" w:space="0" w:color="auto"/>
              <w:bottom w:val="single" w:sz="4" w:space="0" w:color="auto"/>
            </w:tcBorders>
          </w:tcPr>
          <w:p w14:paraId="78759313" w14:textId="77777777" w:rsidR="00AA04E7" w:rsidRPr="00077706" w:rsidRDefault="00AA04E7" w:rsidP="0091208E">
            <w:pPr>
              <w:pStyle w:val="Tabletext"/>
              <w:rPr>
                <w:b/>
              </w:rPr>
            </w:pPr>
            <w:r w:rsidRPr="00077706">
              <w:rPr>
                <w:b/>
              </w:rPr>
              <w:t>Age range during survey period</w:t>
            </w:r>
          </w:p>
        </w:tc>
        <w:tc>
          <w:tcPr>
            <w:tcW w:w="1134" w:type="dxa"/>
            <w:tcBorders>
              <w:top w:val="single" w:sz="4" w:space="0" w:color="auto"/>
              <w:bottom w:val="single" w:sz="4" w:space="0" w:color="auto"/>
            </w:tcBorders>
          </w:tcPr>
          <w:p w14:paraId="519831A5" w14:textId="08C32AA4" w:rsidR="00AA04E7" w:rsidRPr="00077706" w:rsidRDefault="00AA04E7" w:rsidP="0091208E">
            <w:pPr>
              <w:pStyle w:val="Tabletext"/>
              <w:rPr>
                <w:b/>
              </w:rPr>
            </w:pPr>
            <w:r w:rsidRPr="00077706">
              <w:rPr>
                <w:b/>
              </w:rPr>
              <w:t>Sample size</w:t>
            </w:r>
            <w:r w:rsidR="0007558B">
              <w:rPr>
                <w:b/>
              </w:rPr>
              <w:t xml:space="preserve"> in initial year</w:t>
            </w:r>
          </w:p>
        </w:tc>
      </w:tr>
      <w:tr w:rsidR="005410E0" w14:paraId="7B5AF857" w14:textId="77777777" w:rsidTr="00183D9F">
        <w:tc>
          <w:tcPr>
            <w:tcW w:w="1168" w:type="dxa"/>
            <w:tcBorders>
              <w:top w:val="single" w:sz="4" w:space="0" w:color="auto"/>
            </w:tcBorders>
          </w:tcPr>
          <w:p w14:paraId="05C7BBEC" w14:textId="77777777" w:rsidR="00AA04E7" w:rsidRDefault="00AA04E7" w:rsidP="0091208E">
            <w:pPr>
              <w:pStyle w:val="Tabletext"/>
            </w:pPr>
            <w:r>
              <w:t>Y95</w:t>
            </w:r>
          </w:p>
        </w:tc>
        <w:tc>
          <w:tcPr>
            <w:tcW w:w="1667" w:type="dxa"/>
            <w:tcBorders>
              <w:top w:val="single" w:sz="4" w:space="0" w:color="auto"/>
            </w:tcBorders>
          </w:tcPr>
          <w:p w14:paraId="5A80F0C6" w14:textId="6FDB5B66" w:rsidR="00AA04E7" w:rsidRDefault="0007558B" w:rsidP="0091208E">
            <w:pPr>
              <w:pStyle w:val="Tabletext"/>
            </w:pPr>
            <w:r>
              <w:t xml:space="preserve">Attended </w:t>
            </w:r>
            <w:r w:rsidR="00AA04E7">
              <w:t>Year 9 in 1995</w:t>
            </w:r>
          </w:p>
        </w:tc>
        <w:tc>
          <w:tcPr>
            <w:tcW w:w="1560" w:type="dxa"/>
            <w:tcBorders>
              <w:top w:val="single" w:sz="4" w:space="0" w:color="auto"/>
            </w:tcBorders>
          </w:tcPr>
          <w:p w14:paraId="1FA1C3EF" w14:textId="77777777" w:rsidR="00AA04E7" w:rsidRDefault="00AA04E7" w:rsidP="0091208E">
            <w:pPr>
              <w:pStyle w:val="Tabletext"/>
            </w:pPr>
            <w:r>
              <w:t>1995–2006</w:t>
            </w:r>
          </w:p>
        </w:tc>
        <w:tc>
          <w:tcPr>
            <w:tcW w:w="1275" w:type="dxa"/>
            <w:tcBorders>
              <w:top w:val="single" w:sz="4" w:space="0" w:color="auto"/>
            </w:tcBorders>
          </w:tcPr>
          <w:p w14:paraId="1BE65FCC" w14:textId="77777777" w:rsidR="00AA04E7" w:rsidRDefault="00AA04E7" w:rsidP="0091208E">
            <w:pPr>
              <w:pStyle w:val="Tabletext"/>
            </w:pPr>
            <w:r>
              <w:t>14.5 years</w:t>
            </w:r>
          </w:p>
        </w:tc>
        <w:tc>
          <w:tcPr>
            <w:tcW w:w="1560" w:type="dxa"/>
            <w:tcBorders>
              <w:top w:val="single" w:sz="4" w:space="0" w:color="auto"/>
            </w:tcBorders>
          </w:tcPr>
          <w:p w14:paraId="6FF5E2E2" w14:textId="77777777" w:rsidR="00AA04E7" w:rsidRDefault="00AA04E7" w:rsidP="0091208E">
            <w:pPr>
              <w:pStyle w:val="Tabletext"/>
            </w:pPr>
            <w:r>
              <w:t>14.5–25.5 years (average)</w:t>
            </w:r>
          </w:p>
        </w:tc>
        <w:tc>
          <w:tcPr>
            <w:tcW w:w="1134" w:type="dxa"/>
            <w:tcBorders>
              <w:top w:val="single" w:sz="4" w:space="0" w:color="auto"/>
            </w:tcBorders>
          </w:tcPr>
          <w:p w14:paraId="470DE6C5" w14:textId="77777777" w:rsidR="00AA04E7" w:rsidRDefault="00AA04E7" w:rsidP="0091208E">
            <w:pPr>
              <w:pStyle w:val="Tabletext"/>
            </w:pPr>
            <w:r>
              <w:t>13 613</w:t>
            </w:r>
          </w:p>
        </w:tc>
      </w:tr>
      <w:tr w:rsidR="005410E0" w14:paraId="393A3514" w14:textId="77777777" w:rsidTr="00183D9F">
        <w:tc>
          <w:tcPr>
            <w:tcW w:w="1168" w:type="dxa"/>
          </w:tcPr>
          <w:p w14:paraId="6BF62D92" w14:textId="77777777" w:rsidR="00AA04E7" w:rsidRDefault="00AA04E7" w:rsidP="0091208E">
            <w:pPr>
              <w:pStyle w:val="Tabletext"/>
            </w:pPr>
            <w:r>
              <w:t>Y98</w:t>
            </w:r>
          </w:p>
        </w:tc>
        <w:tc>
          <w:tcPr>
            <w:tcW w:w="1667" w:type="dxa"/>
          </w:tcPr>
          <w:p w14:paraId="5E3F1F91" w14:textId="4323D28F" w:rsidR="00AA04E7" w:rsidRDefault="0007558B" w:rsidP="0091208E">
            <w:pPr>
              <w:pStyle w:val="Tabletext"/>
            </w:pPr>
            <w:r>
              <w:t xml:space="preserve">Attended </w:t>
            </w:r>
            <w:r w:rsidR="00AA04E7">
              <w:t>Year 9 in 1998</w:t>
            </w:r>
          </w:p>
        </w:tc>
        <w:tc>
          <w:tcPr>
            <w:tcW w:w="1560" w:type="dxa"/>
          </w:tcPr>
          <w:p w14:paraId="36AADC50" w14:textId="77777777" w:rsidR="00AA04E7" w:rsidRDefault="00AA04E7" w:rsidP="0091208E">
            <w:pPr>
              <w:pStyle w:val="Tabletext"/>
            </w:pPr>
            <w:r>
              <w:t>1998–2009</w:t>
            </w:r>
          </w:p>
        </w:tc>
        <w:tc>
          <w:tcPr>
            <w:tcW w:w="1275" w:type="dxa"/>
          </w:tcPr>
          <w:p w14:paraId="53D2AC59" w14:textId="77777777" w:rsidR="00AA04E7" w:rsidRDefault="00AA04E7" w:rsidP="0091208E">
            <w:pPr>
              <w:pStyle w:val="Tabletext"/>
            </w:pPr>
            <w:r>
              <w:t>14.5 years</w:t>
            </w:r>
          </w:p>
        </w:tc>
        <w:tc>
          <w:tcPr>
            <w:tcW w:w="1560" w:type="dxa"/>
          </w:tcPr>
          <w:p w14:paraId="542AB084" w14:textId="77777777" w:rsidR="00AA04E7" w:rsidRDefault="00AA04E7" w:rsidP="0091208E">
            <w:pPr>
              <w:pStyle w:val="Tabletext"/>
            </w:pPr>
            <w:r>
              <w:t>14.5–25.5 years (average)</w:t>
            </w:r>
          </w:p>
        </w:tc>
        <w:tc>
          <w:tcPr>
            <w:tcW w:w="1134" w:type="dxa"/>
          </w:tcPr>
          <w:p w14:paraId="04C29E29" w14:textId="77777777" w:rsidR="00AA04E7" w:rsidRDefault="00AA04E7" w:rsidP="0091208E">
            <w:pPr>
              <w:pStyle w:val="Tabletext"/>
            </w:pPr>
            <w:r>
              <w:t>14 117</w:t>
            </w:r>
          </w:p>
        </w:tc>
      </w:tr>
      <w:tr w:rsidR="005410E0" w14:paraId="0FE4997B" w14:textId="77777777" w:rsidTr="00183D9F">
        <w:tc>
          <w:tcPr>
            <w:tcW w:w="1168" w:type="dxa"/>
          </w:tcPr>
          <w:p w14:paraId="09132439" w14:textId="77777777" w:rsidR="00AA04E7" w:rsidRDefault="00AA04E7" w:rsidP="0091208E">
            <w:pPr>
              <w:pStyle w:val="Tabletext"/>
            </w:pPr>
            <w:r>
              <w:t>Y03</w:t>
            </w:r>
          </w:p>
        </w:tc>
        <w:tc>
          <w:tcPr>
            <w:tcW w:w="1667" w:type="dxa"/>
          </w:tcPr>
          <w:p w14:paraId="3E615E06" w14:textId="77777777" w:rsidR="00AA04E7" w:rsidRDefault="00AA04E7" w:rsidP="0091208E">
            <w:pPr>
              <w:pStyle w:val="Tabletext"/>
            </w:pPr>
            <w:r>
              <w:t>Aged 15 and participated in PISA</w:t>
            </w:r>
          </w:p>
        </w:tc>
        <w:tc>
          <w:tcPr>
            <w:tcW w:w="1560" w:type="dxa"/>
          </w:tcPr>
          <w:p w14:paraId="3860D250" w14:textId="1F1CC205" w:rsidR="00AA04E7" w:rsidRDefault="00AA04E7" w:rsidP="0091208E">
            <w:pPr>
              <w:pStyle w:val="Tabletext"/>
            </w:pPr>
            <w:r>
              <w:t>2003–1</w:t>
            </w:r>
            <w:r w:rsidR="0007558B">
              <w:t>3</w:t>
            </w:r>
          </w:p>
        </w:tc>
        <w:tc>
          <w:tcPr>
            <w:tcW w:w="1275" w:type="dxa"/>
          </w:tcPr>
          <w:p w14:paraId="7571217F" w14:textId="77777777" w:rsidR="00AA04E7" w:rsidRDefault="00AA04E7" w:rsidP="0091208E">
            <w:pPr>
              <w:pStyle w:val="Tabletext"/>
            </w:pPr>
            <w:r>
              <w:t>15 years</w:t>
            </w:r>
          </w:p>
        </w:tc>
        <w:tc>
          <w:tcPr>
            <w:tcW w:w="1560" w:type="dxa"/>
          </w:tcPr>
          <w:p w14:paraId="101F0E8F" w14:textId="77777777" w:rsidR="00AA04E7" w:rsidRDefault="00AA04E7" w:rsidP="0091208E">
            <w:pPr>
              <w:pStyle w:val="Tabletext"/>
            </w:pPr>
            <w:r>
              <w:t>15–25 years</w:t>
            </w:r>
          </w:p>
        </w:tc>
        <w:tc>
          <w:tcPr>
            <w:tcW w:w="1134" w:type="dxa"/>
          </w:tcPr>
          <w:p w14:paraId="127E3C86" w14:textId="77777777" w:rsidR="00AA04E7" w:rsidRDefault="00AA04E7" w:rsidP="0091208E">
            <w:pPr>
              <w:pStyle w:val="Tabletext"/>
            </w:pPr>
            <w:r>
              <w:t>10 370</w:t>
            </w:r>
          </w:p>
        </w:tc>
      </w:tr>
      <w:tr w:rsidR="005410E0" w14:paraId="020DF26F" w14:textId="77777777" w:rsidTr="00183D9F">
        <w:tc>
          <w:tcPr>
            <w:tcW w:w="1168" w:type="dxa"/>
          </w:tcPr>
          <w:p w14:paraId="4FE0AB05" w14:textId="77777777" w:rsidR="00AA04E7" w:rsidRDefault="00AA04E7" w:rsidP="0091208E">
            <w:pPr>
              <w:pStyle w:val="Tabletext"/>
            </w:pPr>
            <w:r>
              <w:t>Y06</w:t>
            </w:r>
          </w:p>
        </w:tc>
        <w:tc>
          <w:tcPr>
            <w:tcW w:w="1667" w:type="dxa"/>
          </w:tcPr>
          <w:p w14:paraId="790DC684" w14:textId="77777777" w:rsidR="00AA04E7" w:rsidRDefault="00AA04E7" w:rsidP="0091208E">
            <w:pPr>
              <w:pStyle w:val="Tabletext"/>
            </w:pPr>
            <w:r>
              <w:t>Aged 15 and participated in PISA</w:t>
            </w:r>
          </w:p>
        </w:tc>
        <w:tc>
          <w:tcPr>
            <w:tcW w:w="1560" w:type="dxa"/>
          </w:tcPr>
          <w:p w14:paraId="20859EC8" w14:textId="2D4BF516" w:rsidR="00AA04E7" w:rsidRDefault="00AA04E7" w:rsidP="0091208E">
            <w:pPr>
              <w:pStyle w:val="Tabletext"/>
            </w:pPr>
            <w:r>
              <w:t>2006–1</w:t>
            </w:r>
            <w:r w:rsidR="0007558B">
              <w:t>6</w:t>
            </w:r>
          </w:p>
        </w:tc>
        <w:tc>
          <w:tcPr>
            <w:tcW w:w="1275" w:type="dxa"/>
          </w:tcPr>
          <w:p w14:paraId="412916A1" w14:textId="77777777" w:rsidR="00AA04E7" w:rsidRDefault="00AA04E7" w:rsidP="0091208E">
            <w:pPr>
              <w:pStyle w:val="Tabletext"/>
            </w:pPr>
            <w:r>
              <w:t>15 years</w:t>
            </w:r>
          </w:p>
        </w:tc>
        <w:tc>
          <w:tcPr>
            <w:tcW w:w="1560" w:type="dxa"/>
          </w:tcPr>
          <w:p w14:paraId="6055EC43" w14:textId="77777777" w:rsidR="00AA04E7" w:rsidRDefault="00AA04E7" w:rsidP="0091208E">
            <w:pPr>
              <w:pStyle w:val="Tabletext"/>
            </w:pPr>
            <w:r>
              <w:t>15–25 years</w:t>
            </w:r>
          </w:p>
        </w:tc>
        <w:tc>
          <w:tcPr>
            <w:tcW w:w="1134" w:type="dxa"/>
          </w:tcPr>
          <w:p w14:paraId="5B55B502" w14:textId="77777777" w:rsidR="00AA04E7" w:rsidRDefault="00AA04E7" w:rsidP="0091208E">
            <w:pPr>
              <w:pStyle w:val="Tabletext"/>
            </w:pPr>
            <w:r>
              <w:t>14 710</w:t>
            </w:r>
          </w:p>
        </w:tc>
      </w:tr>
      <w:tr w:rsidR="005410E0" w14:paraId="4E70DAAC" w14:textId="77777777" w:rsidTr="00183D9F">
        <w:tc>
          <w:tcPr>
            <w:tcW w:w="1168" w:type="dxa"/>
          </w:tcPr>
          <w:p w14:paraId="6C1A4498" w14:textId="77777777" w:rsidR="00AA04E7" w:rsidRDefault="00AA04E7" w:rsidP="0091208E">
            <w:pPr>
              <w:pStyle w:val="Tabletext"/>
            </w:pPr>
            <w:r>
              <w:t>Y09</w:t>
            </w:r>
          </w:p>
        </w:tc>
        <w:tc>
          <w:tcPr>
            <w:tcW w:w="1667" w:type="dxa"/>
          </w:tcPr>
          <w:p w14:paraId="46C664DF" w14:textId="77777777" w:rsidR="00AA04E7" w:rsidRDefault="00AA04E7" w:rsidP="0091208E">
            <w:pPr>
              <w:pStyle w:val="Tabletext"/>
            </w:pPr>
            <w:r>
              <w:t>Aged 15 and participated in PISA</w:t>
            </w:r>
          </w:p>
        </w:tc>
        <w:tc>
          <w:tcPr>
            <w:tcW w:w="1560" w:type="dxa"/>
          </w:tcPr>
          <w:p w14:paraId="44188DE9" w14:textId="43324064" w:rsidR="00AA04E7" w:rsidRDefault="00AA04E7" w:rsidP="0091208E">
            <w:pPr>
              <w:pStyle w:val="Tabletext"/>
            </w:pPr>
            <w:r>
              <w:t>2009–</w:t>
            </w:r>
            <w:r w:rsidR="0007558B">
              <w:t>19</w:t>
            </w:r>
          </w:p>
        </w:tc>
        <w:tc>
          <w:tcPr>
            <w:tcW w:w="1275" w:type="dxa"/>
          </w:tcPr>
          <w:p w14:paraId="7D0907BF" w14:textId="77777777" w:rsidR="00AA04E7" w:rsidRDefault="00AA04E7" w:rsidP="0091208E">
            <w:pPr>
              <w:pStyle w:val="Tabletext"/>
            </w:pPr>
            <w:r>
              <w:t>15 years</w:t>
            </w:r>
          </w:p>
        </w:tc>
        <w:tc>
          <w:tcPr>
            <w:tcW w:w="1560" w:type="dxa"/>
          </w:tcPr>
          <w:p w14:paraId="5E7B1E00" w14:textId="77777777" w:rsidR="00AA04E7" w:rsidRDefault="00AA04E7" w:rsidP="0091208E">
            <w:pPr>
              <w:pStyle w:val="Tabletext"/>
            </w:pPr>
            <w:r>
              <w:t>15–25 years</w:t>
            </w:r>
          </w:p>
        </w:tc>
        <w:tc>
          <w:tcPr>
            <w:tcW w:w="1134" w:type="dxa"/>
          </w:tcPr>
          <w:p w14:paraId="343ACA54" w14:textId="77777777" w:rsidR="00AA04E7" w:rsidRDefault="00AA04E7" w:rsidP="0091208E">
            <w:pPr>
              <w:pStyle w:val="Tabletext"/>
            </w:pPr>
            <w:r>
              <w:t>14 251</w:t>
            </w:r>
          </w:p>
        </w:tc>
      </w:tr>
      <w:tr w:rsidR="005410E0" w14:paraId="666A5E34" w14:textId="77777777" w:rsidTr="00183D9F">
        <w:tc>
          <w:tcPr>
            <w:tcW w:w="1168" w:type="dxa"/>
          </w:tcPr>
          <w:p w14:paraId="5A81D060" w14:textId="77777777" w:rsidR="00AA04E7" w:rsidRDefault="00AA04E7" w:rsidP="0091208E">
            <w:pPr>
              <w:pStyle w:val="Tabletext"/>
            </w:pPr>
            <w:r>
              <w:t>Y15</w:t>
            </w:r>
          </w:p>
        </w:tc>
        <w:tc>
          <w:tcPr>
            <w:tcW w:w="1667" w:type="dxa"/>
          </w:tcPr>
          <w:p w14:paraId="4123CF30" w14:textId="77777777" w:rsidR="00AA04E7" w:rsidRDefault="00AA04E7" w:rsidP="0091208E">
            <w:pPr>
              <w:pStyle w:val="Tabletext"/>
            </w:pPr>
            <w:r>
              <w:t>Aged 15 and participated in PISA</w:t>
            </w:r>
          </w:p>
        </w:tc>
        <w:tc>
          <w:tcPr>
            <w:tcW w:w="1560" w:type="dxa"/>
          </w:tcPr>
          <w:p w14:paraId="15D035E3" w14:textId="79DD0B26" w:rsidR="00AA04E7" w:rsidRDefault="00AA04E7" w:rsidP="0091208E">
            <w:pPr>
              <w:pStyle w:val="Tabletext"/>
            </w:pPr>
            <w:r>
              <w:t>2015–2</w:t>
            </w:r>
            <w:r w:rsidR="0007558B">
              <w:t>5</w:t>
            </w:r>
            <w:r>
              <w:t xml:space="preserve"> (ongoing)</w:t>
            </w:r>
          </w:p>
        </w:tc>
        <w:tc>
          <w:tcPr>
            <w:tcW w:w="1275" w:type="dxa"/>
          </w:tcPr>
          <w:p w14:paraId="6FB009F2" w14:textId="77777777" w:rsidR="00AA04E7" w:rsidRDefault="00AA04E7" w:rsidP="0091208E">
            <w:pPr>
              <w:pStyle w:val="Tabletext"/>
            </w:pPr>
            <w:r>
              <w:t>15 years</w:t>
            </w:r>
          </w:p>
        </w:tc>
        <w:tc>
          <w:tcPr>
            <w:tcW w:w="1560" w:type="dxa"/>
          </w:tcPr>
          <w:p w14:paraId="4F7A89DD" w14:textId="77777777" w:rsidR="00AA04E7" w:rsidRDefault="00AA04E7" w:rsidP="0091208E">
            <w:pPr>
              <w:pStyle w:val="Tabletext"/>
            </w:pPr>
            <w:r>
              <w:t>15–25 years</w:t>
            </w:r>
          </w:p>
        </w:tc>
        <w:tc>
          <w:tcPr>
            <w:tcW w:w="1134" w:type="dxa"/>
          </w:tcPr>
          <w:p w14:paraId="2B07D45B" w14:textId="77777777" w:rsidR="00AA04E7" w:rsidRDefault="00AA04E7" w:rsidP="0091208E">
            <w:pPr>
              <w:pStyle w:val="Tabletext"/>
            </w:pPr>
            <w:r>
              <w:t>14 530</w:t>
            </w:r>
          </w:p>
        </w:tc>
      </w:tr>
    </w:tbl>
    <w:p w14:paraId="70A94A13" w14:textId="2EE3248D" w:rsidR="00AA04E7" w:rsidRDefault="00CA02CA" w:rsidP="00AA04E7">
      <w:pPr>
        <w:pStyle w:val="Heading3"/>
      </w:pPr>
      <w:r>
        <w:t>25 years</w:t>
      </w:r>
      <w:r w:rsidR="00AA04E7">
        <w:t xml:space="preserve"> of LSAY</w:t>
      </w:r>
    </w:p>
    <w:p w14:paraId="0C13511E" w14:textId="5EB194B3" w:rsidR="00AA04E7" w:rsidRDefault="00AA04E7" w:rsidP="00AA04E7">
      <w:pPr>
        <w:pStyle w:val="Text"/>
      </w:pPr>
      <w:r>
        <w:t xml:space="preserve">This publication presents research highlights from the past </w:t>
      </w:r>
      <w:r w:rsidR="00CA02CA">
        <w:t>25 years</w:t>
      </w:r>
      <w:r>
        <w:t xml:space="preserve"> of the LSAY program. LSAY data have proven especially valuable to policy-oriented research focusing on youth transitions, from school to further education and the labour force. The six cohorts have also allowed for investigations of changes in youth circumstances over time, providing insight into the social and economic contexts that affect successful transitions into adulthood.</w:t>
      </w:r>
    </w:p>
    <w:p w14:paraId="114C4C92" w14:textId="39DF0483" w:rsidR="00AA04E7" w:rsidRDefault="00AA04E7" w:rsidP="00AA04E7">
      <w:pPr>
        <w:pStyle w:val="Text"/>
      </w:pPr>
      <w:r>
        <w:t xml:space="preserve">In late 2018, </w:t>
      </w:r>
      <w:r w:rsidR="005410E0">
        <w:t>the National Centre for Vocational Education Research (</w:t>
      </w:r>
      <w:r>
        <w:t>NCVER</w:t>
      </w:r>
      <w:r w:rsidR="005410E0">
        <w:t>)</w:t>
      </w:r>
      <w:r>
        <w:t xml:space="preserve"> </w:t>
      </w:r>
      <w:r w:rsidR="0007558B">
        <w:t>identified the previous research that best demonstrated the broad coverage of the LSAY data. The authors of those studies were invited to submit summaries for inclusion in this publication.</w:t>
      </w:r>
    </w:p>
    <w:p w14:paraId="5FD332F6" w14:textId="7D45FB72" w:rsidR="00AA04E7" w:rsidRDefault="00AA04E7" w:rsidP="00AA04E7">
      <w:pPr>
        <w:pStyle w:val="Text"/>
      </w:pPr>
      <w:r>
        <w:t xml:space="preserve">A total of 14 submissions have been organised into the following </w:t>
      </w:r>
      <w:r w:rsidR="004D59CF">
        <w:t>six</w:t>
      </w:r>
      <w:r>
        <w:t xml:space="preserve"> sections:</w:t>
      </w:r>
    </w:p>
    <w:p w14:paraId="5FA1C444" w14:textId="18491064" w:rsidR="004D59CF" w:rsidRDefault="004D59CF" w:rsidP="00AA04E7">
      <w:pPr>
        <w:pStyle w:val="Text"/>
        <w:numPr>
          <w:ilvl w:val="0"/>
          <w:numId w:val="65"/>
        </w:numPr>
      </w:pPr>
      <w:r>
        <w:t>Research using LSAY: reflections from Tom Karmel</w:t>
      </w:r>
    </w:p>
    <w:p w14:paraId="0DC1BD0B" w14:textId="4C89DAF5" w:rsidR="00AA04E7" w:rsidRDefault="00AA04E7" w:rsidP="00AA04E7">
      <w:pPr>
        <w:pStyle w:val="Text"/>
        <w:numPr>
          <w:ilvl w:val="0"/>
          <w:numId w:val="65"/>
        </w:numPr>
      </w:pPr>
      <w:r>
        <w:t>Socioeconomic status and family background</w:t>
      </w:r>
    </w:p>
    <w:p w14:paraId="379A5664" w14:textId="690C939F" w:rsidR="00AA04E7" w:rsidRDefault="00AA04E7" w:rsidP="00AA04E7">
      <w:pPr>
        <w:pStyle w:val="Text"/>
        <w:numPr>
          <w:ilvl w:val="0"/>
          <w:numId w:val="65"/>
        </w:numPr>
      </w:pPr>
      <w:r>
        <w:t>VET in schools</w:t>
      </w:r>
    </w:p>
    <w:p w14:paraId="22883AD1" w14:textId="15F04F9A" w:rsidR="00AA04E7" w:rsidRDefault="00AA04E7" w:rsidP="00AA04E7">
      <w:pPr>
        <w:pStyle w:val="Text"/>
        <w:numPr>
          <w:ilvl w:val="0"/>
          <w:numId w:val="65"/>
        </w:numPr>
      </w:pPr>
      <w:r>
        <w:t>School experiences, maths, and expectations of enrolling in university</w:t>
      </w:r>
    </w:p>
    <w:p w14:paraId="3F2A71F4" w14:textId="58737BAC" w:rsidR="00AA04E7" w:rsidRDefault="00AA04E7" w:rsidP="00AA04E7">
      <w:pPr>
        <w:pStyle w:val="Text"/>
        <w:numPr>
          <w:ilvl w:val="0"/>
          <w:numId w:val="65"/>
        </w:numPr>
      </w:pPr>
      <w:r>
        <w:t>Employment and post-school outcomes</w:t>
      </w:r>
    </w:p>
    <w:p w14:paraId="615C511F" w14:textId="451E195E" w:rsidR="00AA04E7" w:rsidRDefault="00AA04E7" w:rsidP="00AA04E7">
      <w:pPr>
        <w:pStyle w:val="Text"/>
        <w:numPr>
          <w:ilvl w:val="0"/>
          <w:numId w:val="65"/>
        </w:numPr>
      </w:pPr>
      <w:r>
        <w:t>An overview of school-to-work transitions.</w:t>
      </w:r>
    </w:p>
    <w:p w14:paraId="2EC01506" w14:textId="45C389A2" w:rsidR="00AA04E7" w:rsidRDefault="00AA04E7" w:rsidP="00AA04E7">
      <w:pPr>
        <w:pStyle w:val="Heading3"/>
      </w:pPr>
      <w:r>
        <w:t>Research using LSAY: reflections from Tom Karmel</w:t>
      </w:r>
    </w:p>
    <w:p w14:paraId="7983F712" w14:textId="1F74186D" w:rsidR="00AA04E7" w:rsidRDefault="00AA04E7" w:rsidP="00AA04E7">
      <w:pPr>
        <w:pStyle w:val="Text"/>
      </w:pPr>
      <w:r>
        <w:t xml:space="preserve">The first </w:t>
      </w:r>
      <w:r w:rsidR="004D59CF">
        <w:t>section</w:t>
      </w:r>
      <w:r>
        <w:t xml:space="preserve"> is written by Dr Tom Karmel</w:t>
      </w:r>
      <w:r w:rsidR="005410E0">
        <w:t xml:space="preserve"> who</w:t>
      </w:r>
      <w:r>
        <w:t xml:space="preserve"> served as Managing Director of NCVER from 2002 to 2013, during which time he was involved in 10 pieces of research using LSAY data. In describing these studies</w:t>
      </w:r>
      <w:r w:rsidR="005410E0">
        <w:t>,</w:t>
      </w:r>
      <w:r>
        <w:t xml:space="preserve"> the chapter demonstrates the varied uses of the LSAY data and serves as exposition for the chapters that follow.</w:t>
      </w:r>
    </w:p>
    <w:p w14:paraId="2649E4F6" w14:textId="5FAAB4DE" w:rsidR="00AA04E7" w:rsidRDefault="00CD5B5D" w:rsidP="00AA04E7">
      <w:pPr>
        <w:pStyle w:val="Text"/>
      </w:pPr>
      <w:r>
        <w:t>F</w:t>
      </w:r>
      <w:r w:rsidR="00AA04E7">
        <w:t xml:space="preserve">indings from </w:t>
      </w:r>
      <w:r>
        <w:t>selected</w:t>
      </w:r>
      <w:r w:rsidR="00AA04E7">
        <w:t xml:space="preserve"> studies </w:t>
      </w:r>
      <w:r>
        <w:t>showed</w:t>
      </w:r>
      <w:r w:rsidR="00AA04E7">
        <w:t>:</w:t>
      </w:r>
    </w:p>
    <w:p w14:paraId="2D1BDA47" w14:textId="55B59141" w:rsidR="001E692E" w:rsidRDefault="001E692E" w:rsidP="00AA04E7">
      <w:pPr>
        <w:pStyle w:val="Text"/>
        <w:numPr>
          <w:ilvl w:val="0"/>
          <w:numId w:val="65"/>
        </w:numPr>
      </w:pPr>
      <w:r>
        <w:t>Undertaking VET programs in Year 11, but not continuing to Year 12, had a positive effect on post-school outcomes for girls in particular</w:t>
      </w:r>
    </w:p>
    <w:p w14:paraId="31925BAE" w14:textId="73C0F6D1" w:rsidR="001E692E" w:rsidRDefault="001E692E" w:rsidP="00AA04E7">
      <w:pPr>
        <w:pStyle w:val="Text"/>
        <w:numPr>
          <w:ilvl w:val="0"/>
          <w:numId w:val="65"/>
        </w:numPr>
      </w:pPr>
      <w:r>
        <w:t>Apprenticeships are more likely to be undertaken by young men who are less academically inclined and from lower socioeconomic backgrounds</w:t>
      </w:r>
    </w:p>
    <w:p w14:paraId="4CC9A304" w14:textId="0845CE08" w:rsidR="001E692E" w:rsidRDefault="001E692E" w:rsidP="00AA04E7">
      <w:pPr>
        <w:pStyle w:val="Text"/>
        <w:numPr>
          <w:ilvl w:val="0"/>
          <w:numId w:val="65"/>
        </w:numPr>
      </w:pPr>
      <w:r>
        <w:lastRenderedPageBreak/>
        <w:t xml:space="preserve">Completing Year 12 is not generally </w:t>
      </w:r>
      <w:proofErr w:type="gramStart"/>
      <w:r>
        <w:t>sufficient</w:t>
      </w:r>
      <w:proofErr w:type="gramEnd"/>
      <w:r>
        <w:t xml:space="preserve"> for young people in terms of later employment and wellbeing outcomes, and further study is required for the best paths to success</w:t>
      </w:r>
    </w:p>
    <w:p w14:paraId="09550151" w14:textId="34516CB9" w:rsidR="001E692E" w:rsidRDefault="001E692E" w:rsidP="00AA04E7">
      <w:pPr>
        <w:pStyle w:val="Text"/>
        <w:numPr>
          <w:ilvl w:val="0"/>
          <w:numId w:val="65"/>
        </w:numPr>
      </w:pPr>
      <w:r>
        <w:t>Young people with more education, ability, and experience have more opportunities to move to high-skilled jobs, while females and part-time workers are more likely to remain in low-skilled jobs</w:t>
      </w:r>
    </w:p>
    <w:p w14:paraId="44996719" w14:textId="5614912A" w:rsidR="001E692E" w:rsidRDefault="001E692E" w:rsidP="00AA04E7">
      <w:pPr>
        <w:pStyle w:val="Text"/>
        <w:numPr>
          <w:ilvl w:val="0"/>
          <w:numId w:val="65"/>
        </w:numPr>
      </w:pPr>
      <w:r>
        <w:t>Intentions to complete Year 12 are most strongly associated with academic performance, immigration background, and parental expectations</w:t>
      </w:r>
    </w:p>
    <w:p w14:paraId="6E11CB33" w14:textId="221F192B" w:rsidR="001E692E" w:rsidRDefault="001E692E" w:rsidP="00AA04E7">
      <w:pPr>
        <w:pStyle w:val="Text"/>
        <w:numPr>
          <w:ilvl w:val="0"/>
          <w:numId w:val="65"/>
        </w:numPr>
      </w:pPr>
      <w:r>
        <w:t>Students whose parents want them to attend university are 11 times more likely to</w:t>
      </w:r>
      <w:r w:rsidR="00FF1F3D">
        <w:t xml:space="preserve"> plan to attend university</w:t>
      </w:r>
      <w:r>
        <w:t xml:space="preserve">, and </w:t>
      </w:r>
      <w:r w:rsidR="00FF1F3D">
        <w:t>four</w:t>
      </w:r>
      <w:r>
        <w:t xml:space="preserve"> times more likely to </w:t>
      </w:r>
      <w:r w:rsidR="00FF1F3D">
        <w:t xml:space="preserve">plan to </w:t>
      </w:r>
      <w:r>
        <w:t>complete Year 12</w:t>
      </w:r>
    </w:p>
    <w:p w14:paraId="082E13EB" w14:textId="4C010A9D" w:rsidR="001E692E" w:rsidRDefault="001E692E" w:rsidP="00AA04E7">
      <w:pPr>
        <w:pStyle w:val="Text"/>
        <w:numPr>
          <w:ilvl w:val="0"/>
          <w:numId w:val="65"/>
        </w:numPr>
      </w:pPr>
      <w:r>
        <w:t>After controlling for tertiary entrance ranks (TERs), the school attributes with the strongest influence on later university attendance are sector, socioeconomic make-up, and proportion of students from non-English speaking backgrounds</w:t>
      </w:r>
    </w:p>
    <w:p w14:paraId="5F011395" w14:textId="51FCAD0D" w:rsidR="001E692E" w:rsidRDefault="001E692E" w:rsidP="00AA04E7">
      <w:pPr>
        <w:pStyle w:val="Text"/>
        <w:numPr>
          <w:ilvl w:val="0"/>
          <w:numId w:val="65"/>
        </w:numPr>
      </w:pPr>
      <w:r>
        <w:t>Students from low socioeconomic backgrounds benefit more from attending high quality schools than students from high socioeconomic backgrounds.</w:t>
      </w:r>
    </w:p>
    <w:p w14:paraId="4BBC13ED" w14:textId="4375FB96" w:rsidR="001E692E" w:rsidRDefault="001E692E" w:rsidP="001E692E">
      <w:pPr>
        <w:pStyle w:val="Heading3"/>
      </w:pPr>
      <w:r>
        <w:t>Socioeconomic status and family background</w:t>
      </w:r>
    </w:p>
    <w:p w14:paraId="2041880E" w14:textId="038D3A8E" w:rsidR="001E692E" w:rsidRDefault="001E692E" w:rsidP="001E692E">
      <w:pPr>
        <w:pStyle w:val="Text"/>
      </w:pPr>
      <w:r>
        <w:t>The second section of this publication consists of three chapters, which collectively demonstrate the utility of LSAY in allowing researchers to assess the effects of student demographics on later academic and labour market success.</w:t>
      </w:r>
    </w:p>
    <w:p w14:paraId="5C0C0591" w14:textId="2E0B1703" w:rsidR="001E692E" w:rsidRDefault="001E692E" w:rsidP="001E692E">
      <w:pPr>
        <w:pStyle w:val="Text"/>
      </w:pPr>
      <w:r>
        <w:t xml:space="preserve">The first chapter, </w:t>
      </w:r>
      <w:r>
        <w:rPr>
          <w:i/>
        </w:rPr>
        <w:t>Student insights, trajectories and equity considerations</w:t>
      </w:r>
      <w:r>
        <w:t xml:space="preserve"> written by Dr Grant Cooper</w:t>
      </w:r>
      <w:r w:rsidR="00CD5B5D">
        <w:t>,</w:t>
      </w:r>
      <w:r>
        <w:t xml:space="preserve"> summarises a study published in 2018 </w:t>
      </w:r>
      <w:r w:rsidR="00CD5B5D">
        <w:t xml:space="preserve">that </w:t>
      </w:r>
      <w:r>
        <w:t>used LSAY data to investigate the extent to which demographic factors predict participation in science subjects among students over the age of 16 years. The main findings were:</w:t>
      </w:r>
    </w:p>
    <w:p w14:paraId="77C6BCD0" w14:textId="58B136BB" w:rsidR="001E692E" w:rsidRDefault="001E692E" w:rsidP="001E692E">
      <w:pPr>
        <w:pStyle w:val="Text"/>
        <w:numPr>
          <w:ilvl w:val="0"/>
          <w:numId w:val="65"/>
        </w:numPr>
      </w:pPr>
      <w:r>
        <w:t>Higher socioeconomic status and coming from a foreign or first-generation background had positive effects on participation in science subjects</w:t>
      </w:r>
    </w:p>
    <w:p w14:paraId="218D81BF" w14:textId="3B8C6D16" w:rsidR="001E692E" w:rsidRDefault="001E692E" w:rsidP="001E692E">
      <w:pPr>
        <w:pStyle w:val="Text"/>
        <w:numPr>
          <w:ilvl w:val="0"/>
          <w:numId w:val="65"/>
        </w:numPr>
      </w:pPr>
      <w:r>
        <w:t>Indigenous students were less likely to participate in science subjects</w:t>
      </w:r>
    </w:p>
    <w:p w14:paraId="1541B924" w14:textId="6EF8C088" w:rsidR="001E692E" w:rsidRDefault="001E692E" w:rsidP="001E692E">
      <w:pPr>
        <w:pStyle w:val="Text"/>
        <w:numPr>
          <w:ilvl w:val="0"/>
          <w:numId w:val="65"/>
        </w:numPr>
      </w:pPr>
      <w:r>
        <w:t>When controlling for other factors, gender had a non-significant effect on participation in science subjects.</w:t>
      </w:r>
    </w:p>
    <w:p w14:paraId="57FF20EF" w14:textId="17464EC1" w:rsidR="001E692E" w:rsidRDefault="006C7A96" w:rsidP="001E692E">
      <w:pPr>
        <w:pStyle w:val="Text"/>
      </w:pPr>
      <w:r>
        <w:t xml:space="preserve">The second chapter, </w:t>
      </w:r>
      <w:r>
        <w:rPr>
          <w:i/>
        </w:rPr>
        <w:t>Inequality in higher education and labour market benefits for young Australians</w:t>
      </w:r>
      <w:r>
        <w:t>, is written by Dr Jung-Sook Lee. It summarises a study published in 2014 that used LSAY data to investigate the influence of family background on the likelihood of attaining a university degree, as well as the labour market benefits of tertiary education. The main findings were:</w:t>
      </w:r>
    </w:p>
    <w:p w14:paraId="7F480BEA" w14:textId="1074B6DA" w:rsidR="006C7A96" w:rsidRDefault="006C7A96" w:rsidP="006C7A96">
      <w:pPr>
        <w:pStyle w:val="Text"/>
        <w:numPr>
          <w:ilvl w:val="0"/>
          <w:numId w:val="65"/>
        </w:numPr>
      </w:pPr>
      <w:r>
        <w:t>University degrees result in higher income growth rates, with no effect on weekly pay at age 22 years, but higher weekly pay by age 25</w:t>
      </w:r>
    </w:p>
    <w:p w14:paraId="68978583" w14:textId="53C53CFA" w:rsidR="006C7A96" w:rsidRDefault="006C7A96" w:rsidP="006C7A96">
      <w:pPr>
        <w:pStyle w:val="Text"/>
        <w:numPr>
          <w:ilvl w:val="0"/>
          <w:numId w:val="65"/>
        </w:numPr>
      </w:pPr>
      <w:r>
        <w:t>Compared with Year 12 completion, obtaining a university degree improved mean annual income at age 25 by about $7 000 for men and $10 000 for women</w:t>
      </w:r>
    </w:p>
    <w:p w14:paraId="50C11B03" w14:textId="7449B2AF" w:rsidR="006C7A96" w:rsidRDefault="006C7A96" w:rsidP="006C7A96">
      <w:pPr>
        <w:pStyle w:val="Text"/>
        <w:numPr>
          <w:ilvl w:val="0"/>
          <w:numId w:val="65"/>
        </w:numPr>
      </w:pPr>
      <w:r>
        <w:t>University ‘prestige’ had a significant effect on occupational prestige, but not income</w:t>
      </w:r>
    </w:p>
    <w:p w14:paraId="4A58D098" w14:textId="5C1CDD79" w:rsidR="006C7A96" w:rsidRDefault="006C7A96" w:rsidP="006C7A96">
      <w:pPr>
        <w:pStyle w:val="Text"/>
        <w:numPr>
          <w:ilvl w:val="0"/>
          <w:numId w:val="65"/>
        </w:numPr>
      </w:pPr>
      <w:r>
        <w:lastRenderedPageBreak/>
        <w:t>Young people who studied health-related disciplines had the highest income and occupational prestige, while the lowest was among those who studied arts, humanities, and social sciences</w:t>
      </w:r>
    </w:p>
    <w:p w14:paraId="5A6950C9" w14:textId="2016423E" w:rsidR="008341E9" w:rsidRDefault="008341E9" w:rsidP="006C7A96">
      <w:pPr>
        <w:pStyle w:val="Text"/>
        <w:numPr>
          <w:ilvl w:val="0"/>
          <w:numId w:val="65"/>
        </w:numPr>
      </w:pPr>
      <w:r>
        <w:t xml:space="preserve">Young people whose parents </w:t>
      </w:r>
      <w:r w:rsidR="00C22BCC">
        <w:t>had university degrees and higher occupational prestige were more likely to obtain a university degree themselves.</w:t>
      </w:r>
    </w:p>
    <w:p w14:paraId="10F80CFB" w14:textId="0BF60C84" w:rsidR="00C22BCC" w:rsidRDefault="00C22BCC" w:rsidP="00C22BCC">
      <w:pPr>
        <w:pStyle w:val="Text"/>
      </w:pPr>
      <w:r>
        <w:t xml:space="preserve">The third chapter, </w:t>
      </w:r>
      <w:r>
        <w:rPr>
          <w:i/>
        </w:rPr>
        <w:t>Associations between educational attainment and both family and school SES</w:t>
      </w:r>
      <w:r>
        <w:t xml:space="preserve"> written by Dr Jenny Chesters</w:t>
      </w:r>
      <w:r w:rsidR="00CD5B5D">
        <w:t>,</w:t>
      </w:r>
      <w:r>
        <w:t xml:space="preserve"> summarises a study published in 2019 </w:t>
      </w:r>
      <w:r w:rsidR="00CD5B5D">
        <w:t xml:space="preserve">that </w:t>
      </w:r>
      <w:r>
        <w:t>used LSAY data to assess whether resources in the school environment can compensate for a lack of resources in the home environment. The main findings were:</w:t>
      </w:r>
    </w:p>
    <w:p w14:paraId="6E7635E3" w14:textId="21254085" w:rsidR="00C22BCC" w:rsidRDefault="00C22BCC" w:rsidP="00C22BCC">
      <w:pPr>
        <w:pStyle w:val="Text"/>
        <w:numPr>
          <w:ilvl w:val="0"/>
          <w:numId w:val="65"/>
        </w:numPr>
      </w:pPr>
      <w:r>
        <w:t xml:space="preserve">Both student and school socioeconomic status were positively associated with academic achievement at age 15 years and likelihood of enrolling in a </w:t>
      </w:r>
      <w:proofErr w:type="gramStart"/>
      <w:r>
        <w:t>bachelor</w:t>
      </w:r>
      <w:proofErr w:type="gramEnd"/>
      <w:r>
        <w:t xml:space="preserve"> degree</w:t>
      </w:r>
    </w:p>
    <w:p w14:paraId="46CA6417" w14:textId="510B2A51" w:rsidR="00C22BCC" w:rsidRDefault="00C22BCC" w:rsidP="00C22BCC">
      <w:pPr>
        <w:pStyle w:val="Text"/>
        <w:numPr>
          <w:ilvl w:val="0"/>
          <w:numId w:val="65"/>
        </w:numPr>
      </w:pPr>
      <w:r>
        <w:t>Students from low socioeconomic backgrounds had higher levels of academic achievement at age 15 years if they attended high-socioeconomic schools</w:t>
      </w:r>
    </w:p>
    <w:p w14:paraId="2FA3B007" w14:textId="2D28EF35" w:rsidR="00C22BCC" w:rsidRDefault="00C22BCC" w:rsidP="00C22BCC">
      <w:pPr>
        <w:pStyle w:val="Text"/>
        <w:numPr>
          <w:ilvl w:val="0"/>
          <w:numId w:val="65"/>
        </w:numPr>
      </w:pPr>
      <w:r>
        <w:t xml:space="preserve">Students from high socioeconomic backgrounds were only half as likely to enrol in a </w:t>
      </w:r>
      <w:proofErr w:type="gramStart"/>
      <w:r>
        <w:t>bachelor</w:t>
      </w:r>
      <w:proofErr w:type="gramEnd"/>
      <w:r>
        <w:t xml:space="preserve"> degree if they attended a low-socioeconomic school, as compared with attending a high-socioeconomic school.</w:t>
      </w:r>
    </w:p>
    <w:p w14:paraId="5069C31F" w14:textId="34847790" w:rsidR="00C22BCC" w:rsidRDefault="00C22BCC" w:rsidP="00C22BCC">
      <w:pPr>
        <w:pStyle w:val="Heading3"/>
      </w:pPr>
      <w:r>
        <w:t>VET in schools</w:t>
      </w:r>
    </w:p>
    <w:p w14:paraId="58EBAFBE" w14:textId="794ADFBE" w:rsidR="00C22BCC" w:rsidRDefault="00C22BCC" w:rsidP="00C22BCC">
      <w:pPr>
        <w:pStyle w:val="Text"/>
      </w:pPr>
      <w:r>
        <w:t xml:space="preserve">The third section of this publication comprises two chapters, which together showcase the capacity for LSAY researchers to explore early involvement in vocational education and training. The first chapter, </w:t>
      </w:r>
      <w:r>
        <w:rPr>
          <w:i/>
        </w:rPr>
        <w:t>Student transfer between VET and higher education</w:t>
      </w:r>
      <w:r>
        <w:t>, is written by Dr David Curtis. It summarises a study published in 2006</w:t>
      </w:r>
      <w:r w:rsidR="00CD5B5D">
        <w:t xml:space="preserve"> that</w:t>
      </w:r>
      <w:r>
        <w:t xml:space="preserve"> used LSAY data to investigate rates of student transfer between the vocational and higher education sectors. It then makes an additional contribution by revisiting those analyses using 2016 LSAY data, to determine whether rates of inter-sectoral transfer have changed over time. The main findings were:</w:t>
      </w:r>
    </w:p>
    <w:p w14:paraId="53A0B64D" w14:textId="30EE42B1" w:rsidR="00C22BCC" w:rsidRDefault="00C22BCC" w:rsidP="00C22BCC">
      <w:pPr>
        <w:pStyle w:val="Text"/>
        <w:numPr>
          <w:ilvl w:val="0"/>
          <w:numId w:val="65"/>
        </w:numPr>
      </w:pPr>
      <w:r>
        <w:t>Most students undertake only one post-school program, but those who undertake a second program are most likely to do so in the same sector as the first</w:t>
      </w:r>
    </w:p>
    <w:p w14:paraId="3F81466F" w14:textId="7A56A1AE" w:rsidR="00C22BCC" w:rsidRDefault="00C22BCC" w:rsidP="00C22BCC">
      <w:pPr>
        <w:pStyle w:val="Text"/>
        <w:numPr>
          <w:ilvl w:val="0"/>
          <w:numId w:val="65"/>
        </w:numPr>
      </w:pPr>
      <w:r>
        <w:t>While participation rates in both VET and higher education increased between 2006 and 2016, rates of transfer between sectors remained similar</w:t>
      </w:r>
    </w:p>
    <w:p w14:paraId="6885955B" w14:textId="02F78065" w:rsidR="00C22BCC" w:rsidRDefault="00C22BCC" w:rsidP="00C22BCC">
      <w:pPr>
        <w:pStyle w:val="Text"/>
        <w:numPr>
          <w:ilvl w:val="0"/>
          <w:numId w:val="65"/>
        </w:numPr>
      </w:pPr>
      <w:r>
        <w:t>Transfers from VET to higher education typically involve students moving from lower level qualifications to higher level qualifications in the same field.</w:t>
      </w:r>
    </w:p>
    <w:p w14:paraId="6C05465B" w14:textId="0C417C2A" w:rsidR="00C22BCC" w:rsidRDefault="00C22BCC" w:rsidP="00C22BCC">
      <w:pPr>
        <w:pStyle w:val="Text"/>
      </w:pPr>
      <w:r>
        <w:t xml:space="preserve">The second chapter, </w:t>
      </w:r>
      <w:r>
        <w:rPr>
          <w:i/>
        </w:rPr>
        <w:t>Initial outcomes from VET in Schools programs in Australia</w:t>
      </w:r>
      <w:r>
        <w:t xml:space="preserve">, is written by Dr Cain </w:t>
      </w:r>
      <w:proofErr w:type="spellStart"/>
      <w:r>
        <w:t>Polidano</w:t>
      </w:r>
      <w:proofErr w:type="spellEnd"/>
      <w:r>
        <w:t xml:space="preserve"> and Domenico </w:t>
      </w:r>
      <w:proofErr w:type="spellStart"/>
      <w:r>
        <w:t>Tabasso</w:t>
      </w:r>
      <w:proofErr w:type="spellEnd"/>
      <w:r>
        <w:t>.</w:t>
      </w:r>
      <w:r w:rsidR="002331D6">
        <w:t xml:space="preserve"> It summarises a study published in 2014 that used LSAY data to estimate the education and employment outcomes for participants in VET in Schools programs, in their first year after leaving school. The main findings were:</w:t>
      </w:r>
    </w:p>
    <w:p w14:paraId="47451CF1" w14:textId="436AE919" w:rsidR="002331D6" w:rsidRPr="00BE05DD" w:rsidRDefault="002331D6" w:rsidP="002331D6">
      <w:pPr>
        <w:pStyle w:val="Text"/>
        <w:numPr>
          <w:ilvl w:val="0"/>
          <w:numId w:val="65"/>
        </w:numPr>
      </w:pPr>
      <w:r w:rsidRPr="00BE05DD">
        <w:t>Participation in VET in Schools programs resulted in 14% higher rates of school completion</w:t>
      </w:r>
    </w:p>
    <w:p w14:paraId="777D32AE" w14:textId="06F572F9" w:rsidR="002331D6" w:rsidRDefault="002331D6" w:rsidP="004D59CF">
      <w:pPr>
        <w:pStyle w:val="Text"/>
        <w:numPr>
          <w:ilvl w:val="1"/>
          <w:numId w:val="65"/>
        </w:numPr>
      </w:pPr>
      <w:r>
        <w:t>It was also associated with lower rates of enrolment in higher education, and higher rates of participation in VET courses at certificate III level and above, in the first year out from school</w:t>
      </w:r>
    </w:p>
    <w:p w14:paraId="114860F9" w14:textId="08685854" w:rsidR="002331D6" w:rsidRDefault="002331D6" w:rsidP="002331D6">
      <w:pPr>
        <w:pStyle w:val="Text"/>
        <w:numPr>
          <w:ilvl w:val="0"/>
          <w:numId w:val="65"/>
        </w:numPr>
      </w:pPr>
      <w:r>
        <w:lastRenderedPageBreak/>
        <w:t xml:space="preserve">VET in Schools programs with workplace learning components yielded higher rates of full-time employment, being in a job that the participant would like as a career, and higher income </w:t>
      </w:r>
      <w:r w:rsidRPr="00D56649">
        <w:t>($25/week)</w:t>
      </w:r>
      <w:r>
        <w:t xml:space="preserve"> in the first year out from school.</w:t>
      </w:r>
    </w:p>
    <w:p w14:paraId="26114823" w14:textId="47AD52DB" w:rsidR="002331D6" w:rsidRDefault="00B17756" w:rsidP="00B17756">
      <w:pPr>
        <w:pStyle w:val="Heading3"/>
      </w:pPr>
      <w:r>
        <w:t>School experiences, maths, and expectations of enrolling in university</w:t>
      </w:r>
    </w:p>
    <w:p w14:paraId="5F507ADE" w14:textId="67948F03" w:rsidR="00B17756" w:rsidRDefault="00B17756" w:rsidP="00B17756">
      <w:pPr>
        <w:pStyle w:val="Text"/>
      </w:pPr>
      <w:r>
        <w:t xml:space="preserve">The fourth section of this publication comprises three chapters that examine the effects of school experiences and beliefs about one’s abilities on later educational pathways. The first chapter, </w:t>
      </w:r>
      <w:r>
        <w:rPr>
          <w:i/>
        </w:rPr>
        <w:t>Schools and career guidance key to widening university participation</w:t>
      </w:r>
      <w:r>
        <w:t xml:space="preserve">, is written by </w:t>
      </w:r>
      <w:r w:rsidR="00C33B3B">
        <w:t>A/Prof</w:t>
      </w:r>
      <w:r>
        <w:t xml:space="preserve"> Wojtek Tomaszewski</w:t>
      </w:r>
      <w:r w:rsidR="00C33B3B">
        <w:t>, A/Prof Francisco Perales and Dr Ning Xiang</w:t>
      </w:r>
      <w:r>
        <w:t>. It summarises a study published in 2017 that used LSAY data to investigate the roles of socioeconomic background, school experiences, and career guidance on university enrolment. The main findings were:</w:t>
      </w:r>
    </w:p>
    <w:p w14:paraId="4E94E29C" w14:textId="333DBA42" w:rsidR="00B17756" w:rsidRDefault="00B17756" w:rsidP="00B17756">
      <w:pPr>
        <w:pStyle w:val="Text"/>
        <w:numPr>
          <w:ilvl w:val="0"/>
          <w:numId w:val="65"/>
        </w:numPr>
      </w:pPr>
      <w:r>
        <w:t>Students from low socioeconomic backgrounds were less likely to enrol in university than students from high socioeconomic backgrounds by age 25 (35</w:t>
      </w:r>
      <w:r w:rsidRPr="00761558">
        <w:t>% vs.</w:t>
      </w:r>
      <w:r>
        <w:t xml:space="preserve"> 64%)</w:t>
      </w:r>
    </w:p>
    <w:p w14:paraId="621F3E21" w14:textId="76947A43" w:rsidR="00B17756" w:rsidRDefault="00B17756" w:rsidP="00B17756">
      <w:pPr>
        <w:pStyle w:val="Text"/>
        <w:numPr>
          <w:ilvl w:val="0"/>
          <w:numId w:val="65"/>
        </w:numPr>
      </w:pPr>
      <w:r>
        <w:t>Good student-teacher relationships, a positive learning culture, and some forms of career guidance increase the likelihood of students from all backgrounds enrolling in university</w:t>
      </w:r>
    </w:p>
    <w:p w14:paraId="39235427" w14:textId="4414843F" w:rsidR="00B17756" w:rsidRDefault="00B17756" w:rsidP="00B17756">
      <w:pPr>
        <w:pStyle w:val="Text"/>
        <w:numPr>
          <w:ilvl w:val="0"/>
          <w:numId w:val="65"/>
        </w:numPr>
      </w:pPr>
      <w:r>
        <w:t>The effects of student-teacher relationships and talks from career advisors on university enrolment were greater for students from lower socioeconomic backgrounds.</w:t>
      </w:r>
    </w:p>
    <w:p w14:paraId="6222411F" w14:textId="043DD22F" w:rsidR="00B17756" w:rsidRDefault="00B17756" w:rsidP="00B17756">
      <w:pPr>
        <w:pStyle w:val="Text"/>
      </w:pPr>
      <w:r>
        <w:t xml:space="preserve">The second chapter, </w:t>
      </w:r>
      <w:r>
        <w:rPr>
          <w:i/>
        </w:rPr>
        <w:t>The underrepresentation of women in maths-intensive fields of study</w:t>
      </w:r>
      <w:r w:rsidR="00CD5B5D">
        <w:t xml:space="preserve"> </w:t>
      </w:r>
      <w:r>
        <w:t>written by Dr Helen Law</w:t>
      </w:r>
      <w:r w:rsidR="00CD5B5D">
        <w:t>,</w:t>
      </w:r>
      <w:r>
        <w:t xml:space="preserve"> summarises a study published in 2018 that used LSAY data to examine the influence of occupational expectations and self-assessed maths competence at age 15 on subject choice in Year 12 and later participation in maths-intensive bachelor degrees. The main findings were:</w:t>
      </w:r>
    </w:p>
    <w:p w14:paraId="566687C9" w14:textId="3EAB7ADA" w:rsidR="00B17756" w:rsidRDefault="00B17756" w:rsidP="00B17756">
      <w:pPr>
        <w:pStyle w:val="Text"/>
        <w:numPr>
          <w:ilvl w:val="0"/>
          <w:numId w:val="65"/>
        </w:numPr>
      </w:pPr>
      <w:r>
        <w:t xml:space="preserve">Men were about four times </w:t>
      </w:r>
      <w:r w:rsidR="00D93AE0">
        <w:t>more</w:t>
      </w:r>
      <w:r>
        <w:t xml:space="preserve"> likely </w:t>
      </w:r>
      <w:r w:rsidR="004D59CF">
        <w:t>than</w:t>
      </w:r>
      <w:r>
        <w:t xml:space="preserve"> women to choose a maths-intensive </w:t>
      </w:r>
      <w:proofErr w:type="gramStart"/>
      <w:r>
        <w:t>bachelor</w:t>
      </w:r>
      <w:proofErr w:type="gramEnd"/>
      <w:r>
        <w:t xml:space="preserve"> degree program</w:t>
      </w:r>
    </w:p>
    <w:p w14:paraId="0E08FDD7" w14:textId="167ED71F" w:rsidR="00B17756" w:rsidRDefault="00B17756" w:rsidP="00B17756">
      <w:pPr>
        <w:pStyle w:val="Text"/>
        <w:numPr>
          <w:ilvl w:val="0"/>
          <w:numId w:val="65"/>
        </w:numPr>
      </w:pPr>
      <w:r>
        <w:t>25% of men expected a maths-intensive career when they were 15 years old, compared with 7% of women</w:t>
      </w:r>
    </w:p>
    <w:p w14:paraId="1B0F7D8E" w14:textId="1E155DD7" w:rsidR="00B17756" w:rsidRDefault="00B17756" w:rsidP="00B17756">
      <w:pPr>
        <w:pStyle w:val="Text"/>
        <w:numPr>
          <w:ilvl w:val="0"/>
          <w:numId w:val="65"/>
        </w:numPr>
      </w:pPr>
      <w:r>
        <w:t>The gender gap in enrolling in a maths-intensive university course could be reduced by about 28% if women were as likely as men to expect maths-oriented careers,</w:t>
      </w:r>
      <w:r w:rsidR="00DC4DAE">
        <w:t xml:space="preserve"> </w:t>
      </w:r>
      <w:r w:rsidR="0007558B">
        <w:t>to</w:t>
      </w:r>
      <w:r>
        <w:t xml:space="preserve"> have the same level of confidence in their maths competence while at school, and to take advanced maths and physical science subjects in Year 12.</w:t>
      </w:r>
    </w:p>
    <w:p w14:paraId="7A37A012" w14:textId="48BEF59D" w:rsidR="00B17756" w:rsidRDefault="00B17756" w:rsidP="00B17756">
      <w:pPr>
        <w:pStyle w:val="Text"/>
      </w:pPr>
      <w:r>
        <w:t xml:space="preserve">The third chapter, </w:t>
      </w:r>
      <w:r>
        <w:rPr>
          <w:i/>
        </w:rPr>
        <w:t>Juxtaposing maths self-efficacy and self-concept as predictors of long-term achievement outcomes</w:t>
      </w:r>
      <w:r>
        <w:t>, is written by Dr Philip Parker.</w:t>
      </w:r>
      <w:r w:rsidR="00274253">
        <w:t xml:space="preserve"> It summarises a study published in 2014 that used LSAY data to investigate the roles that mathematics self-efficacy and self-concept have on later academic achievement and course selection. The main findings were:</w:t>
      </w:r>
    </w:p>
    <w:p w14:paraId="60E16744" w14:textId="5563A2FC" w:rsidR="00274253" w:rsidRDefault="00274253" w:rsidP="00274253">
      <w:pPr>
        <w:pStyle w:val="Text"/>
        <w:numPr>
          <w:ilvl w:val="0"/>
          <w:numId w:val="65"/>
        </w:numPr>
      </w:pPr>
      <w:r>
        <w:t>Mathematics self-concept and self-efficacy were both predicted by academic achievement</w:t>
      </w:r>
    </w:p>
    <w:p w14:paraId="6A708F10" w14:textId="77495678" w:rsidR="00EB07A2" w:rsidRDefault="00274253" w:rsidP="00274253">
      <w:pPr>
        <w:pStyle w:val="Text"/>
        <w:numPr>
          <w:ilvl w:val="0"/>
          <w:numId w:val="65"/>
        </w:numPr>
      </w:pPr>
      <w:r>
        <w:t>Even when controlling for prior achievement, both mathematics self-concept and self-efficacy predicted university entrance scores</w:t>
      </w:r>
    </w:p>
    <w:p w14:paraId="5387221E" w14:textId="77777777" w:rsidR="00EB07A2" w:rsidRDefault="00EB07A2">
      <w:pPr>
        <w:spacing w:before="0" w:line="240" w:lineRule="auto"/>
      </w:pPr>
      <w:r>
        <w:br w:type="page"/>
      </w:r>
    </w:p>
    <w:p w14:paraId="2EBA817C" w14:textId="58D908DA" w:rsidR="00274253" w:rsidRDefault="00274253" w:rsidP="00274253">
      <w:pPr>
        <w:pStyle w:val="Text"/>
        <w:numPr>
          <w:ilvl w:val="0"/>
          <w:numId w:val="65"/>
        </w:numPr>
      </w:pPr>
      <w:r>
        <w:lastRenderedPageBreak/>
        <w:t>Mathematics self-efficacy was a significant predictor of university entry, and mathematics self-concept was a significant predictor of choosing to participate in a university course with a focus in science, technology, engineering or mathematics (STEM).</w:t>
      </w:r>
    </w:p>
    <w:p w14:paraId="19358A09" w14:textId="34206A50" w:rsidR="00274253" w:rsidRDefault="00274253" w:rsidP="00274253">
      <w:pPr>
        <w:pStyle w:val="Heading3"/>
      </w:pPr>
      <w:r>
        <w:t>Employment and post-school outcomes</w:t>
      </w:r>
    </w:p>
    <w:p w14:paraId="5A9B5288" w14:textId="52B50720" w:rsidR="00274253" w:rsidRDefault="00274253" w:rsidP="00274253">
      <w:pPr>
        <w:pStyle w:val="Text"/>
      </w:pPr>
      <w:r>
        <w:t xml:space="preserve">The fifth section of this publication contains four chapters that have a </w:t>
      </w:r>
      <w:proofErr w:type="gramStart"/>
      <w:r>
        <w:t>particular focus</w:t>
      </w:r>
      <w:proofErr w:type="gramEnd"/>
      <w:r>
        <w:t xml:space="preserve"> on employment and other labour market outcomes. The first chapter, </w:t>
      </w:r>
      <w:r>
        <w:rPr>
          <w:i/>
        </w:rPr>
        <w:t>Adolescent occupational expectations</w:t>
      </w:r>
      <w:r>
        <w:t xml:space="preserve">, is written by Dr Joanna Sikora. It draws on several studies, published between 2011 and 2018, </w:t>
      </w:r>
      <w:r w:rsidR="00CD5B5D">
        <w:t xml:space="preserve">that </w:t>
      </w:r>
      <w:r>
        <w:t>have used LSAY data to investigate the influences of educational plans, occupational plans, gender, and socioeconomic background on later outcomes. The main findings were:</w:t>
      </w:r>
    </w:p>
    <w:p w14:paraId="5B4D7853" w14:textId="50D1B6BB" w:rsidR="00274253" w:rsidRDefault="00274253" w:rsidP="00274253">
      <w:pPr>
        <w:pStyle w:val="Text"/>
        <w:numPr>
          <w:ilvl w:val="0"/>
          <w:numId w:val="65"/>
        </w:numPr>
      </w:pPr>
      <w:r>
        <w:t>56% of boys and 66% of girls planned to become professionals at age 15 years, both of which are significantly higher than the actual proportions observed in the adult population</w:t>
      </w:r>
    </w:p>
    <w:p w14:paraId="63FB9E3B" w14:textId="567411A8" w:rsidR="00274253" w:rsidRDefault="00274253" w:rsidP="00274253">
      <w:pPr>
        <w:pStyle w:val="Text"/>
        <w:numPr>
          <w:ilvl w:val="0"/>
          <w:numId w:val="65"/>
        </w:numPr>
      </w:pPr>
      <w:r>
        <w:t>More than one quarter of participants had failed to achieve their occupational expectations at age 15 years by the time they were 25 years old, with similar proportions failing to realise their expectation of completing university</w:t>
      </w:r>
    </w:p>
    <w:p w14:paraId="3DD63B10" w14:textId="3929F7F2" w:rsidR="00274253" w:rsidRDefault="00274253" w:rsidP="00274253">
      <w:pPr>
        <w:pStyle w:val="Text"/>
        <w:numPr>
          <w:ilvl w:val="0"/>
          <w:numId w:val="65"/>
        </w:numPr>
      </w:pPr>
      <w:r>
        <w:t>Students from lower socioeconomic backgrounds were more likely to downwardly adjust their educational and occupational expectations over time</w:t>
      </w:r>
    </w:p>
    <w:p w14:paraId="1A19DD67" w14:textId="24ABF9CD" w:rsidR="00274253" w:rsidRDefault="00274253" w:rsidP="00274253">
      <w:pPr>
        <w:pStyle w:val="Text"/>
        <w:numPr>
          <w:ilvl w:val="0"/>
          <w:numId w:val="65"/>
        </w:numPr>
      </w:pPr>
      <w:r>
        <w:t>Occupational uncertainty at age 15 increased the likelihood of occupational uncertainty at age 22 by 45%</w:t>
      </w:r>
    </w:p>
    <w:p w14:paraId="749AF89F" w14:textId="048861A9" w:rsidR="00274253" w:rsidRDefault="00274253" w:rsidP="00274253">
      <w:pPr>
        <w:pStyle w:val="Text"/>
        <w:numPr>
          <w:ilvl w:val="0"/>
          <w:numId w:val="65"/>
        </w:numPr>
      </w:pPr>
      <w:r>
        <w:t>The gender gap in expectations of STEM careers remained relatively stable between 1999 and 2015, with computing, engineering, and mathematics appealing to relatively few young women</w:t>
      </w:r>
    </w:p>
    <w:p w14:paraId="7F17449E" w14:textId="0F079196" w:rsidR="00274253" w:rsidRDefault="00274253" w:rsidP="00274253">
      <w:pPr>
        <w:pStyle w:val="Text"/>
        <w:numPr>
          <w:ilvl w:val="0"/>
          <w:numId w:val="65"/>
        </w:numPr>
      </w:pPr>
      <w:r>
        <w:t>Females were less likely than males to retain career plans concerning computing and engineering (19% vs. 32%).</w:t>
      </w:r>
    </w:p>
    <w:p w14:paraId="157480BE" w14:textId="1E7B7452" w:rsidR="00274253" w:rsidRDefault="00274253" w:rsidP="00274253">
      <w:pPr>
        <w:pStyle w:val="Text"/>
      </w:pPr>
      <w:r>
        <w:t xml:space="preserve">The second chapter, </w:t>
      </w:r>
      <w:proofErr w:type="gramStart"/>
      <w:r>
        <w:rPr>
          <w:i/>
        </w:rPr>
        <w:t>Who</w:t>
      </w:r>
      <w:proofErr w:type="gramEnd"/>
      <w:r>
        <w:rPr>
          <w:i/>
        </w:rPr>
        <w:t xml:space="preserve"> takes a gap year and why?</w:t>
      </w:r>
      <w:r>
        <w:t xml:space="preserve"> written by Dr John Stanwick</w:t>
      </w:r>
      <w:r w:rsidR="00CD5B5D">
        <w:t xml:space="preserve">, </w:t>
      </w:r>
      <w:r>
        <w:t xml:space="preserve">summarises a paper published in 2012 </w:t>
      </w:r>
      <w:r w:rsidR="00CD5B5D">
        <w:t xml:space="preserve">that </w:t>
      </w:r>
      <w:r>
        <w:t>used LSAY data to investigate the incidence, predictors, and outcomes of gap-year taking. The main findings were:</w:t>
      </w:r>
    </w:p>
    <w:p w14:paraId="6534EE75" w14:textId="1ACA25C0" w:rsidR="00274253" w:rsidRDefault="00274253" w:rsidP="00274253">
      <w:pPr>
        <w:pStyle w:val="Text"/>
        <w:numPr>
          <w:ilvl w:val="0"/>
          <w:numId w:val="65"/>
        </w:numPr>
      </w:pPr>
      <w:r>
        <w:t>Incidence of gap-year taking has increased between 1999 and 2009, from 10% of school leavers to 24%</w:t>
      </w:r>
    </w:p>
    <w:p w14:paraId="5816FCE2" w14:textId="109B4510" w:rsidR="00274253" w:rsidRDefault="00274253" w:rsidP="00274253">
      <w:pPr>
        <w:pStyle w:val="Text"/>
        <w:numPr>
          <w:ilvl w:val="0"/>
          <w:numId w:val="65"/>
        </w:numPr>
      </w:pPr>
      <w:r>
        <w:t>There was a greater occurrence of gap-year taking among respondents who were employed in Year 12, with little difference between males and females</w:t>
      </w:r>
    </w:p>
    <w:p w14:paraId="2FB52EC9" w14:textId="56853CE7" w:rsidR="00274253" w:rsidRDefault="00274253" w:rsidP="00274253">
      <w:pPr>
        <w:pStyle w:val="Text"/>
        <w:numPr>
          <w:ilvl w:val="0"/>
          <w:numId w:val="65"/>
        </w:numPr>
      </w:pPr>
      <w:r>
        <w:t>About half of gap-year takers worked during their gap year, while as many as 25% reported some form of non-university study</w:t>
      </w:r>
    </w:p>
    <w:p w14:paraId="507E4435" w14:textId="708F59EB" w:rsidR="00274253" w:rsidRDefault="00274253" w:rsidP="00274253">
      <w:pPr>
        <w:pStyle w:val="Text"/>
        <w:numPr>
          <w:ilvl w:val="0"/>
          <w:numId w:val="65"/>
        </w:numPr>
      </w:pPr>
      <w:r>
        <w:t>Gap-year takers appear to still be ‘catching up’ to students who do not take a gap year by age 24 years, with 12% fewer completing their course and 11% more still studying their first university course by then.</w:t>
      </w:r>
    </w:p>
    <w:p w14:paraId="46797C17" w14:textId="031A5638" w:rsidR="00274253" w:rsidRDefault="00274253" w:rsidP="00274253">
      <w:pPr>
        <w:pStyle w:val="Text"/>
      </w:pPr>
      <w:r>
        <w:t xml:space="preserve">The third chapter, </w:t>
      </w:r>
      <w:proofErr w:type="gramStart"/>
      <w:r>
        <w:rPr>
          <w:i/>
        </w:rPr>
        <w:t>Does</w:t>
      </w:r>
      <w:proofErr w:type="gramEnd"/>
      <w:r>
        <w:rPr>
          <w:i/>
        </w:rPr>
        <w:t xml:space="preserve"> combining school and work affect school and post-school outcomes?</w:t>
      </w:r>
      <w:r>
        <w:t xml:space="preserve">, is written by Alison Anlezark. It is based on a report published in 2011 that used </w:t>
      </w:r>
      <w:r>
        <w:lastRenderedPageBreak/>
        <w:t xml:space="preserve">LSAY data to explore the effects of combining school and work on young people, and the extent to which students who work </w:t>
      </w:r>
      <w:proofErr w:type="gramStart"/>
      <w:r>
        <w:t>are able to</w:t>
      </w:r>
      <w:proofErr w:type="gramEnd"/>
      <w:r>
        <w:t xml:space="preserve"> manage competing demands. The main findings were:</w:t>
      </w:r>
    </w:p>
    <w:p w14:paraId="246A48A2" w14:textId="2D0DEC18" w:rsidR="00274253" w:rsidRDefault="00274253" w:rsidP="00274253">
      <w:pPr>
        <w:pStyle w:val="Text"/>
        <w:numPr>
          <w:ilvl w:val="0"/>
          <w:numId w:val="65"/>
        </w:numPr>
      </w:pPr>
      <w:r>
        <w:t>Almost half of all students in Years 9 through to 12 combined part-time work and school, with slightly higher rates for females</w:t>
      </w:r>
    </w:p>
    <w:p w14:paraId="0A27178F" w14:textId="4B4CC7A6" w:rsidR="00274253" w:rsidRDefault="00274253" w:rsidP="00274253">
      <w:pPr>
        <w:pStyle w:val="Text"/>
        <w:numPr>
          <w:ilvl w:val="0"/>
          <w:numId w:val="65"/>
        </w:numPr>
      </w:pPr>
      <w:r>
        <w:t>Those students who worked while at school did so for 11 to 12 hours per week on average</w:t>
      </w:r>
    </w:p>
    <w:p w14:paraId="5B94122E" w14:textId="4B7665B9" w:rsidR="00274253" w:rsidRDefault="00274253" w:rsidP="00274253">
      <w:pPr>
        <w:pStyle w:val="Text"/>
        <w:numPr>
          <w:ilvl w:val="0"/>
          <w:numId w:val="65"/>
        </w:numPr>
      </w:pPr>
      <w:r>
        <w:t>Working for more than 15 to 20 hours per week while at school had a negative impact on school and post-school study outcomes</w:t>
      </w:r>
    </w:p>
    <w:p w14:paraId="1829561B" w14:textId="5FF39335" w:rsidR="00274253" w:rsidRDefault="00274253" w:rsidP="00274253">
      <w:pPr>
        <w:pStyle w:val="Text"/>
        <w:numPr>
          <w:ilvl w:val="0"/>
          <w:numId w:val="65"/>
        </w:numPr>
      </w:pPr>
      <w:r>
        <w:t>Working for around five hours per week while at school had a positive impact on post-school full-time employment.</w:t>
      </w:r>
    </w:p>
    <w:p w14:paraId="1E633205" w14:textId="49C38E6F" w:rsidR="00274253" w:rsidRDefault="00274253" w:rsidP="00274253">
      <w:pPr>
        <w:pStyle w:val="Text"/>
      </w:pPr>
      <w:r>
        <w:t xml:space="preserve">The fourth chapter, </w:t>
      </w:r>
      <w:r>
        <w:rPr>
          <w:i/>
        </w:rPr>
        <w:t>Young people not in education, employment or training (NEET)</w:t>
      </w:r>
      <w:r w:rsidR="00CD5B5D">
        <w:t xml:space="preserve"> </w:t>
      </w:r>
      <w:r>
        <w:t>written by Dr Cameron Forrest</w:t>
      </w:r>
      <w:r w:rsidR="00CD5B5D">
        <w:t xml:space="preserve">, </w:t>
      </w:r>
      <w:r>
        <w:t>is based on a report published in 2017 that used two cohorts of LSAY data to investigate the incidence, predictors, and outcomes of being persistently not in education, employment, or training. The main findings were:</w:t>
      </w:r>
    </w:p>
    <w:p w14:paraId="21D7DD5E" w14:textId="3A96A1F0" w:rsidR="00274253" w:rsidRDefault="00274253" w:rsidP="00274253">
      <w:pPr>
        <w:pStyle w:val="Text"/>
        <w:numPr>
          <w:ilvl w:val="0"/>
          <w:numId w:val="65"/>
        </w:numPr>
      </w:pPr>
      <w:r>
        <w:t>On average, respondents spent two to four months in the NEET state between ages 15 and 24</w:t>
      </w:r>
      <w:r w:rsidR="00C640BA">
        <w:t xml:space="preserve">; </w:t>
      </w:r>
      <w:r w:rsidR="009C5E09">
        <w:t>this was used as further justification to consider only those periods which were six months or longer to be problematic</w:t>
      </w:r>
    </w:p>
    <w:p w14:paraId="7EC35CBE" w14:textId="7A48E62D" w:rsidR="00274253" w:rsidRDefault="00274253" w:rsidP="00274253">
      <w:pPr>
        <w:pStyle w:val="Text"/>
        <w:numPr>
          <w:ilvl w:val="0"/>
          <w:numId w:val="65"/>
        </w:numPr>
      </w:pPr>
      <w:r>
        <w:t>The main demographic factors associated with persistent NEET periods of six months or longer were having children and Year 12 non-completion</w:t>
      </w:r>
    </w:p>
    <w:p w14:paraId="59B34AD3" w14:textId="3068CDC8" w:rsidR="00274253" w:rsidRDefault="00274253" w:rsidP="00274253">
      <w:pPr>
        <w:pStyle w:val="Text"/>
        <w:numPr>
          <w:ilvl w:val="0"/>
          <w:numId w:val="65"/>
        </w:numPr>
      </w:pPr>
      <w:r>
        <w:t xml:space="preserve">Respondents who were persistently NEET as teenagers were between 3 and 5 times </w:t>
      </w:r>
      <w:r w:rsidR="00A06053">
        <w:t>more</w:t>
      </w:r>
      <w:r>
        <w:t xml:space="preserve"> likely to experience persistently NEET periods in adulthood.</w:t>
      </w:r>
    </w:p>
    <w:p w14:paraId="36089B9A" w14:textId="45FAE145" w:rsidR="00274253" w:rsidRDefault="00274253" w:rsidP="00274253">
      <w:pPr>
        <w:pStyle w:val="Heading3"/>
      </w:pPr>
      <w:r>
        <w:t>School-to-work transitions</w:t>
      </w:r>
    </w:p>
    <w:p w14:paraId="44A0ECDB" w14:textId="6E3C0EF1" w:rsidR="00274253" w:rsidRDefault="00274253" w:rsidP="00274253">
      <w:pPr>
        <w:pStyle w:val="Text"/>
      </w:pPr>
      <w:r>
        <w:t>The final section of this publication comprises one chapter, written by Rasika Ranasinghe and Emerick Chew. It uses sequence analysis to identify the different types of pathways young people take in the transition from school to the labour force. The main findings were:</w:t>
      </w:r>
    </w:p>
    <w:p w14:paraId="0B46AC83" w14:textId="07634EEB" w:rsidR="00274253" w:rsidRDefault="00274253" w:rsidP="00274253">
      <w:pPr>
        <w:pStyle w:val="Text"/>
        <w:numPr>
          <w:ilvl w:val="0"/>
          <w:numId w:val="65"/>
        </w:numPr>
      </w:pPr>
      <w:r>
        <w:t>Young peoples’ transitions could be categorised into five main pathways: higher education and work, early entry to full-time work, a mix of higher education and VET, mixed and repeatedly disengaged, and mostly working part-time</w:t>
      </w:r>
    </w:p>
    <w:p w14:paraId="07D738DF" w14:textId="157E7CC8" w:rsidR="00274253" w:rsidRDefault="00274253" w:rsidP="00274253">
      <w:pPr>
        <w:pStyle w:val="Text"/>
        <w:numPr>
          <w:ilvl w:val="0"/>
          <w:numId w:val="65"/>
        </w:numPr>
      </w:pPr>
      <w:r>
        <w:t>The second pathway, which included those respondents who engaged in VET as an early route to employment, yielded the highest rates of employment by age 25 years (97.4%)</w:t>
      </w:r>
    </w:p>
    <w:p w14:paraId="3085BE21" w14:textId="5A463C44" w:rsidR="00274253" w:rsidRDefault="00274253" w:rsidP="00274253">
      <w:pPr>
        <w:pStyle w:val="Text"/>
        <w:numPr>
          <w:ilvl w:val="0"/>
          <w:numId w:val="65"/>
        </w:numPr>
      </w:pPr>
      <w:r>
        <w:t>The fourth pathway, which was characterised by labour market churning and repeated disengagement, was associated with low socioeconomic status and low mathematics achievement.</w:t>
      </w:r>
    </w:p>
    <w:p w14:paraId="5382E18E" w14:textId="1C6AE6E0" w:rsidR="00F25299" w:rsidRDefault="00F25299" w:rsidP="00F25299">
      <w:pPr>
        <w:pStyle w:val="Heading2"/>
      </w:pPr>
      <w:bookmarkStart w:id="27" w:name="_Toc19803885"/>
      <w:r>
        <w:t>Summary and the future of LSAY</w:t>
      </w:r>
      <w:bookmarkEnd w:id="27"/>
    </w:p>
    <w:p w14:paraId="2DA36D49" w14:textId="2DCDD8B5" w:rsidR="00F25299" w:rsidRDefault="00F25299" w:rsidP="00F25299">
      <w:pPr>
        <w:pStyle w:val="Text"/>
      </w:pPr>
      <w:r>
        <w:t>Since 1995, LSAY has provided a rich data source on the pathways of young Australians. In this collection of papers, we present</w:t>
      </w:r>
      <w:r w:rsidR="00D30277">
        <w:t xml:space="preserve"> research highlights spanning two decades of LSAY’s history. Although the ‘core’ LSAY data record academic- and employment-related outcomes, </w:t>
      </w:r>
      <w:r w:rsidR="00D30277">
        <w:lastRenderedPageBreak/>
        <w:t>wider research interest has been facilitated by the inclusion of detailed demographic information, as well as topics such as participation in VET in Schools programs, career advice and aspirations, subject choice, gap years, and NEET periods, among many others.</w:t>
      </w:r>
    </w:p>
    <w:p w14:paraId="4CFF6933" w14:textId="626F91EC" w:rsidR="00D30277" w:rsidRDefault="00D30277" w:rsidP="00F25299">
      <w:pPr>
        <w:pStyle w:val="Text"/>
      </w:pPr>
      <w:r>
        <w:t xml:space="preserve">While the studies summarised in the following 14 chapters highlight these strengths, they represent only a small fraction of the research interest in LSAY during the past two decades. </w:t>
      </w:r>
      <w:r w:rsidRPr="007012DB">
        <w:t xml:space="preserve">As of </w:t>
      </w:r>
      <w:r w:rsidR="007012DB">
        <w:t>November</w:t>
      </w:r>
      <w:r w:rsidRPr="007012DB">
        <w:t xml:space="preserve"> 2019, some 3</w:t>
      </w:r>
      <w:r w:rsidR="007012DB">
        <w:t>45</w:t>
      </w:r>
      <w:r w:rsidRPr="007012DB">
        <w:t xml:space="preserve"> studies have been published using LSAY data, while an addition</w:t>
      </w:r>
      <w:r w:rsidR="002A7779" w:rsidRPr="007012DB">
        <w:t>al</w:t>
      </w:r>
      <w:r w:rsidRPr="007012DB">
        <w:t xml:space="preserve"> 24</w:t>
      </w:r>
      <w:r w:rsidR="007012DB">
        <w:t>58</w:t>
      </w:r>
      <w:r w:rsidRPr="007012DB">
        <w:t xml:space="preserve"> studies have cited work published under the LSAY research program</w:t>
      </w:r>
      <w:r w:rsidR="002A7779" w:rsidRPr="007012DB">
        <w:t xml:space="preserve"> that ran from </w:t>
      </w:r>
      <w:r w:rsidR="00B03397" w:rsidRPr="007012DB">
        <w:t>1995</w:t>
      </w:r>
      <w:r w:rsidR="002A7779" w:rsidRPr="007012DB">
        <w:t xml:space="preserve"> to 2013</w:t>
      </w:r>
      <w:r w:rsidRPr="007012DB">
        <w:t>.</w:t>
      </w:r>
      <w:r w:rsidRPr="00167C49">
        <w:t xml:space="preserve"> </w:t>
      </w:r>
      <w:r w:rsidR="002A7779">
        <w:t>I</w:t>
      </w:r>
      <w:r>
        <w:t xml:space="preserve">t is not an exaggeration to state that research interest in LSAY has never been higher. </w:t>
      </w:r>
      <w:r w:rsidR="0007558B">
        <w:t>Consecutive records were set in 2018 and 2019 for requests from prospective researchers to access LSAY data</w:t>
      </w:r>
      <w:r>
        <w:t>. Multiple users have expressed their desire to see the program extended beyond the age of 25 years to enable even longer-term analyses.</w:t>
      </w:r>
    </w:p>
    <w:p w14:paraId="3222D65B" w14:textId="3E8B46E5" w:rsidR="00D30277" w:rsidRDefault="00D30277" w:rsidP="00F25299">
      <w:pPr>
        <w:pStyle w:val="Text"/>
      </w:pPr>
      <w:r>
        <w:t xml:space="preserve">As a retrospective celebration of more than </w:t>
      </w:r>
      <w:r w:rsidR="00CA02CA">
        <w:t>25 years</w:t>
      </w:r>
      <w:r>
        <w:t xml:space="preserve"> of LSAY’s research history, what is largely missing from these highlights is a discussion of current directions. The latest LSAY cohort, Y15, saw the introduction of several new </w:t>
      </w:r>
      <w:r w:rsidR="0007558B">
        <w:t>topics</w:t>
      </w:r>
      <w:r>
        <w:t xml:space="preserve">, aimed at measuring soft skills, personality, wellbeing, caring duties, ‘gig’ work, homelessness, social support, as well as an expanded focus on volunteering and other topics. For the first time, LSAY data will be linked with administrative VET records, with additional linkages planned for the National Assessment Program – Literacy and Numeracy (NAPLAN), senior secondary results, and higher education. A recently completed series of consultations with data users identified several other emerging areas of research interest, </w:t>
      </w:r>
      <w:r w:rsidR="0007558B">
        <w:t>and NCVER will continue to consult with data users on future directions for the survey</w:t>
      </w:r>
      <w:r>
        <w:t>.</w:t>
      </w:r>
    </w:p>
    <w:p w14:paraId="1BEADB53" w14:textId="6BDBAAC0" w:rsidR="00D30277" w:rsidRDefault="00D30277" w:rsidP="00F25299">
      <w:pPr>
        <w:pStyle w:val="Text"/>
      </w:pPr>
      <w:r>
        <w:t>The LSAY program has a long and proud research history, but the future promises to be brighter still.</w:t>
      </w:r>
    </w:p>
    <w:p w14:paraId="376DA216" w14:textId="5264FC8E" w:rsidR="00D30277" w:rsidRDefault="00D30277" w:rsidP="00D30277">
      <w:pPr>
        <w:pStyle w:val="Heading2"/>
      </w:pPr>
      <w:bookmarkStart w:id="28" w:name="_Toc19803886"/>
      <w:bookmarkEnd w:id="19"/>
      <w:r>
        <w:t>References</w:t>
      </w:r>
      <w:bookmarkEnd w:id="28"/>
    </w:p>
    <w:p w14:paraId="0739A915" w14:textId="021C694F" w:rsidR="00D30277" w:rsidRDefault="00D30277" w:rsidP="00D30277">
      <w:pPr>
        <w:pStyle w:val="Text"/>
        <w:spacing w:before="80"/>
        <w:ind w:left="284" w:hanging="284"/>
        <w:rPr>
          <w:sz w:val="18"/>
          <w:szCs w:val="18"/>
        </w:rPr>
      </w:pPr>
      <w:r>
        <w:rPr>
          <w:sz w:val="18"/>
          <w:szCs w:val="18"/>
        </w:rPr>
        <w:t xml:space="preserve">Department of Education 2016, </w:t>
      </w:r>
      <w:r>
        <w:rPr>
          <w:i/>
          <w:sz w:val="18"/>
          <w:szCs w:val="18"/>
        </w:rPr>
        <w:t>A Review of the Longitudinal Surveys of Australian Youth</w:t>
      </w:r>
      <w:r>
        <w:rPr>
          <w:sz w:val="18"/>
          <w:szCs w:val="18"/>
        </w:rPr>
        <w:t>, Commonwealth of Australia, Canberra.</w:t>
      </w:r>
    </w:p>
    <w:p w14:paraId="17009CF8" w14:textId="03543200" w:rsidR="00D30277" w:rsidRPr="00B44E57" w:rsidRDefault="00D30277" w:rsidP="00B44E57">
      <w:pPr>
        <w:pStyle w:val="Text"/>
        <w:spacing w:before="80"/>
        <w:ind w:left="284" w:hanging="284"/>
        <w:rPr>
          <w:sz w:val="18"/>
          <w:szCs w:val="18"/>
        </w:rPr>
      </w:pPr>
      <w:r>
        <w:rPr>
          <w:sz w:val="18"/>
          <w:szCs w:val="18"/>
        </w:rPr>
        <w:t xml:space="preserve">Moore, J &amp; Semo, R 2019, ‘An introduction to the Longitudinal Surveys of Australian Youth (LSAY)’, </w:t>
      </w:r>
      <w:r>
        <w:rPr>
          <w:i/>
          <w:sz w:val="18"/>
          <w:szCs w:val="18"/>
        </w:rPr>
        <w:t>Longitudinal and Life Course Studies</w:t>
      </w:r>
      <w:r>
        <w:rPr>
          <w:sz w:val="18"/>
          <w:szCs w:val="18"/>
        </w:rPr>
        <w:t>, vol.10, no.10, pp. 109-23.</w:t>
      </w:r>
    </w:p>
    <w:p w14:paraId="66BFC0BE" w14:textId="77777777" w:rsidR="002D52D7" w:rsidRDefault="002D52D7" w:rsidP="005955B2">
      <w:pPr>
        <w:pStyle w:val="Text"/>
        <w:rPr>
          <w:noProof/>
        </w:rPr>
      </w:pPr>
    </w:p>
    <w:p w14:paraId="76782190" w14:textId="41E419D4" w:rsidR="002D52D7" w:rsidRDefault="002D52D7" w:rsidP="005955B2">
      <w:pPr>
        <w:pStyle w:val="Text"/>
        <w:rPr>
          <w:noProof/>
        </w:rPr>
        <w:sectPr w:rsidR="002D52D7" w:rsidSect="002F0955">
          <w:headerReference w:type="default" r:id="rId24"/>
          <w:footerReference w:type="even" r:id="rId25"/>
          <w:footerReference w:type="default" r:id="rId26"/>
          <w:pgSz w:w="11907" w:h="16840" w:code="9"/>
          <w:pgMar w:top="1276" w:right="2552" w:bottom="992" w:left="1418" w:header="709" w:footer="179" w:gutter="0"/>
          <w:cols w:space="708"/>
          <w:docGrid w:linePitch="360"/>
        </w:sectPr>
      </w:pPr>
    </w:p>
    <w:p w14:paraId="79AC79AF" w14:textId="55CB95F5" w:rsidR="00EB0AD7" w:rsidRPr="00AE31AE" w:rsidRDefault="00EB0AD7" w:rsidP="00487F8F">
      <w:pPr>
        <w:pStyle w:val="Contents"/>
        <w:spacing w:after="480"/>
        <w:rPr>
          <w:rFonts w:ascii="Tahoma" w:hAnsi="Tahoma" w:cs="Tahoma"/>
        </w:rPr>
      </w:pPr>
      <w:r w:rsidRPr="00AE31AE">
        <w:rPr>
          <w:rFonts w:ascii="Tahoma" w:hAnsi="Tahoma" w:cs="Tahoma"/>
        </w:rPr>
        <w:lastRenderedPageBreak/>
        <w:t>Contents</w:t>
      </w:r>
      <w:bookmarkEnd w:id="14"/>
      <w:bookmarkEnd w:id="15"/>
      <w:bookmarkEnd w:id="16"/>
    </w:p>
    <w:p w14:paraId="7A6C4687" w14:textId="7DAE2CCB" w:rsidR="00146364" w:rsidRDefault="002947D3">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146364">
        <w:t>Acknowledgments</w:t>
      </w:r>
      <w:r w:rsidR="00146364">
        <w:tab/>
      </w:r>
      <w:r w:rsidR="00146364">
        <w:fldChar w:fldCharType="begin"/>
      </w:r>
      <w:r w:rsidR="00146364">
        <w:instrText xml:space="preserve"> PAGEREF _Toc19803882 \h </w:instrText>
      </w:r>
      <w:r w:rsidR="00146364">
        <w:fldChar w:fldCharType="separate"/>
      </w:r>
      <w:r w:rsidR="00BE614C">
        <w:t>1</w:t>
      </w:r>
      <w:r w:rsidR="00146364">
        <w:fldChar w:fldCharType="end"/>
      </w:r>
    </w:p>
    <w:p w14:paraId="26DAB0BD" w14:textId="00839027" w:rsidR="00146364" w:rsidRDefault="00146364">
      <w:pPr>
        <w:pStyle w:val="TOC1"/>
        <w:rPr>
          <w:rFonts w:asciiTheme="minorHAnsi" w:eastAsiaTheme="minorEastAsia" w:hAnsiTheme="minorHAnsi" w:cstheme="minorBidi"/>
          <w:color w:val="auto"/>
          <w:sz w:val="22"/>
          <w:szCs w:val="22"/>
          <w:lang w:eastAsia="en-AU"/>
        </w:rPr>
      </w:pPr>
      <w:r>
        <w:t>Foreword</w:t>
      </w:r>
      <w:r>
        <w:tab/>
      </w:r>
      <w:r>
        <w:fldChar w:fldCharType="begin"/>
      </w:r>
      <w:r>
        <w:instrText xml:space="preserve"> PAGEREF _Toc19803883 \h </w:instrText>
      </w:r>
      <w:r>
        <w:fldChar w:fldCharType="separate"/>
      </w:r>
      <w:r w:rsidR="00BE614C">
        <w:t>6</w:t>
      </w:r>
      <w:r>
        <w:fldChar w:fldCharType="end"/>
      </w:r>
    </w:p>
    <w:p w14:paraId="2EBB1AB4" w14:textId="2C05E4C3" w:rsidR="00146364" w:rsidRDefault="00146364">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_Toc19803884 \h </w:instrText>
      </w:r>
      <w:r>
        <w:fldChar w:fldCharType="separate"/>
      </w:r>
      <w:r w:rsidR="00BE614C">
        <w:t>7</w:t>
      </w:r>
      <w:r>
        <w:fldChar w:fldCharType="end"/>
      </w:r>
    </w:p>
    <w:p w14:paraId="1C71453C" w14:textId="39132C4E" w:rsidR="00146364" w:rsidRDefault="00146364">
      <w:pPr>
        <w:pStyle w:val="TOC1"/>
        <w:rPr>
          <w:rFonts w:asciiTheme="minorHAnsi" w:eastAsiaTheme="minorEastAsia" w:hAnsiTheme="minorHAnsi" w:cstheme="minorBidi"/>
          <w:color w:val="auto"/>
          <w:sz w:val="22"/>
          <w:szCs w:val="22"/>
          <w:lang w:eastAsia="en-AU"/>
        </w:rPr>
      </w:pPr>
      <w:r>
        <w:t>Tables and figures</w:t>
      </w:r>
      <w:r>
        <w:tab/>
      </w:r>
      <w:r>
        <w:fldChar w:fldCharType="begin"/>
      </w:r>
      <w:r>
        <w:instrText xml:space="preserve"> PAGEREF _Toc19803887 \h </w:instrText>
      </w:r>
      <w:r>
        <w:fldChar w:fldCharType="separate"/>
      </w:r>
      <w:r w:rsidR="00BE614C">
        <w:t>16</w:t>
      </w:r>
      <w:r>
        <w:fldChar w:fldCharType="end"/>
      </w:r>
    </w:p>
    <w:p w14:paraId="07CECD0B" w14:textId="613752B6" w:rsidR="00146364" w:rsidRDefault="00146364">
      <w:pPr>
        <w:pStyle w:val="TOC1"/>
        <w:rPr>
          <w:rFonts w:asciiTheme="minorHAnsi" w:eastAsiaTheme="minorEastAsia" w:hAnsiTheme="minorHAnsi" w:cstheme="minorBidi"/>
          <w:color w:val="auto"/>
          <w:sz w:val="22"/>
          <w:szCs w:val="22"/>
          <w:lang w:eastAsia="en-AU"/>
        </w:rPr>
      </w:pPr>
      <w:r>
        <w:t>Research using LSAY: reflections from Tom Karmel</w:t>
      </w:r>
      <w:r>
        <w:tab/>
      </w:r>
      <w:r>
        <w:fldChar w:fldCharType="begin"/>
      </w:r>
      <w:r>
        <w:instrText xml:space="preserve"> PAGEREF _Toc19803890 \h </w:instrText>
      </w:r>
      <w:r>
        <w:fldChar w:fldCharType="separate"/>
      </w:r>
      <w:r w:rsidR="00BE614C">
        <w:t>19</w:t>
      </w:r>
      <w:r>
        <w:fldChar w:fldCharType="end"/>
      </w:r>
    </w:p>
    <w:p w14:paraId="0BE79C56" w14:textId="485AE209" w:rsidR="00146364" w:rsidRDefault="00146364">
      <w:pPr>
        <w:pStyle w:val="TOC1"/>
        <w:rPr>
          <w:rFonts w:asciiTheme="minorHAnsi" w:eastAsiaTheme="minorEastAsia" w:hAnsiTheme="minorHAnsi" w:cstheme="minorBidi"/>
          <w:color w:val="auto"/>
          <w:sz w:val="22"/>
          <w:szCs w:val="22"/>
          <w:lang w:eastAsia="en-AU"/>
        </w:rPr>
      </w:pPr>
      <w:r>
        <w:t>Section 2: Socioeconomic status and family background</w:t>
      </w:r>
      <w:r>
        <w:tab/>
      </w:r>
      <w:r>
        <w:fldChar w:fldCharType="begin"/>
      </w:r>
      <w:r>
        <w:instrText xml:space="preserve"> PAGEREF _Toc19803897 \h </w:instrText>
      </w:r>
      <w:r>
        <w:fldChar w:fldCharType="separate"/>
      </w:r>
      <w:r w:rsidR="00BE614C">
        <w:t>28</w:t>
      </w:r>
      <w:r>
        <w:fldChar w:fldCharType="end"/>
      </w:r>
    </w:p>
    <w:p w14:paraId="797B6CFF" w14:textId="12D867A3" w:rsidR="00146364" w:rsidRDefault="00146364" w:rsidP="00826A53">
      <w:pPr>
        <w:pStyle w:val="TOC1"/>
        <w:ind w:left="284"/>
        <w:rPr>
          <w:rFonts w:asciiTheme="minorHAnsi" w:eastAsiaTheme="minorEastAsia" w:hAnsiTheme="minorHAnsi" w:cstheme="minorBidi"/>
          <w:color w:val="auto"/>
          <w:sz w:val="22"/>
          <w:szCs w:val="22"/>
          <w:lang w:eastAsia="en-AU"/>
        </w:rPr>
      </w:pPr>
      <w:r>
        <w:t>Student insights, trajectories and equity considerations: using the LSAY to examine demographic predictors of participation in senior secondary science</w:t>
      </w:r>
      <w:r>
        <w:tab/>
      </w:r>
      <w:r>
        <w:fldChar w:fldCharType="begin"/>
      </w:r>
      <w:r>
        <w:instrText xml:space="preserve"> PAGEREF _Toc19803899 \h </w:instrText>
      </w:r>
      <w:r>
        <w:fldChar w:fldCharType="separate"/>
      </w:r>
      <w:r w:rsidR="00BE614C">
        <w:t>30</w:t>
      </w:r>
      <w:r>
        <w:fldChar w:fldCharType="end"/>
      </w:r>
    </w:p>
    <w:p w14:paraId="26BC4B1F" w14:textId="6579FE66" w:rsidR="00146364" w:rsidRDefault="00146364" w:rsidP="00826A53">
      <w:pPr>
        <w:pStyle w:val="TOC1"/>
        <w:ind w:left="284"/>
        <w:rPr>
          <w:rFonts w:asciiTheme="minorHAnsi" w:eastAsiaTheme="minorEastAsia" w:hAnsiTheme="minorHAnsi" w:cstheme="minorBidi"/>
          <w:color w:val="auto"/>
          <w:sz w:val="22"/>
          <w:szCs w:val="22"/>
          <w:lang w:eastAsia="en-AU"/>
        </w:rPr>
      </w:pPr>
      <w:r>
        <w:t>Inequality in higher education and labour market benefits for young Australians</w:t>
      </w:r>
      <w:r>
        <w:tab/>
      </w:r>
      <w:r>
        <w:fldChar w:fldCharType="begin"/>
      </w:r>
      <w:r>
        <w:instrText xml:space="preserve"> PAGEREF _Toc19803904 \h </w:instrText>
      </w:r>
      <w:r>
        <w:fldChar w:fldCharType="separate"/>
      </w:r>
      <w:r w:rsidR="00BE614C">
        <w:t>34</w:t>
      </w:r>
      <w:r>
        <w:fldChar w:fldCharType="end"/>
      </w:r>
    </w:p>
    <w:p w14:paraId="5442F235" w14:textId="6414C495" w:rsidR="00146364" w:rsidRDefault="00146364" w:rsidP="00826A53">
      <w:pPr>
        <w:pStyle w:val="TOC1"/>
        <w:ind w:left="284"/>
        <w:rPr>
          <w:rFonts w:asciiTheme="minorHAnsi" w:eastAsiaTheme="minorEastAsia" w:hAnsiTheme="minorHAnsi" w:cstheme="minorBidi"/>
          <w:color w:val="auto"/>
          <w:sz w:val="22"/>
          <w:szCs w:val="22"/>
          <w:lang w:eastAsia="en-AU"/>
        </w:rPr>
      </w:pPr>
      <w:r>
        <w:t>Associations between educational attainment and both family and school SES</w:t>
      </w:r>
      <w:r>
        <w:tab/>
      </w:r>
      <w:r>
        <w:fldChar w:fldCharType="begin"/>
      </w:r>
      <w:r>
        <w:instrText xml:space="preserve"> PAGEREF _Toc19803909 \h </w:instrText>
      </w:r>
      <w:r>
        <w:fldChar w:fldCharType="separate"/>
      </w:r>
      <w:r w:rsidR="00BE614C">
        <w:t>40</w:t>
      </w:r>
      <w:r>
        <w:fldChar w:fldCharType="end"/>
      </w:r>
    </w:p>
    <w:p w14:paraId="7AE90F38" w14:textId="55C2EC17" w:rsidR="00146364" w:rsidRDefault="00146364">
      <w:pPr>
        <w:pStyle w:val="TOC1"/>
        <w:rPr>
          <w:rFonts w:asciiTheme="minorHAnsi" w:eastAsiaTheme="minorEastAsia" w:hAnsiTheme="minorHAnsi" w:cstheme="minorBidi"/>
          <w:color w:val="auto"/>
          <w:sz w:val="22"/>
          <w:szCs w:val="22"/>
          <w:lang w:eastAsia="en-AU"/>
        </w:rPr>
      </w:pPr>
      <w:r>
        <w:t>Section 3: VET in Schools</w:t>
      </w:r>
      <w:r>
        <w:tab/>
      </w:r>
      <w:r>
        <w:fldChar w:fldCharType="begin"/>
      </w:r>
      <w:r>
        <w:instrText xml:space="preserve"> PAGEREF _Toc19803916 \h </w:instrText>
      </w:r>
      <w:r>
        <w:fldChar w:fldCharType="separate"/>
      </w:r>
      <w:r w:rsidR="00BE614C">
        <w:t>45</w:t>
      </w:r>
      <w:r>
        <w:fldChar w:fldCharType="end"/>
      </w:r>
    </w:p>
    <w:p w14:paraId="5EBDFF67" w14:textId="30359951" w:rsidR="00146364" w:rsidRDefault="00146364" w:rsidP="00826A53">
      <w:pPr>
        <w:pStyle w:val="TOC1"/>
        <w:ind w:left="284"/>
        <w:rPr>
          <w:rFonts w:asciiTheme="minorHAnsi" w:eastAsiaTheme="minorEastAsia" w:hAnsiTheme="minorHAnsi" w:cstheme="minorBidi"/>
          <w:color w:val="auto"/>
          <w:sz w:val="22"/>
          <w:szCs w:val="22"/>
          <w:lang w:eastAsia="en-AU"/>
        </w:rPr>
      </w:pPr>
      <w:r>
        <w:t>Student transfer between VET and higher education</w:t>
      </w:r>
      <w:r>
        <w:tab/>
      </w:r>
      <w:r>
        <w:fldChar w:fldCharType="begin"/>
      </w:r>
      <w:r>
        <w:instrText xml:space="preserve"> PAGEREF _Toc19803918 \h </w:instrText>
      </w:r>
      <w:r>
        <w:fldChar w:fldCharType="separate"/>
      </w:r>
      <w:r w:rsidR="00BE614C">
        <w:t>46</w:t>
      </w:r>
      <w:r>
        <w:fldChar w:fldCharType="end"/>
      </w:r>
    </w:p>
    <w:p w14:paraId="714F1370" w14:textId="39AC646E" w:rsidR="00146364" w:rsidRDefault="00146364" w:rsidP="00826A53">
      <w:pPr>
        <w:pStyle w:val="TOC1"/>
        <w:ind w:left="284"/>
        <w:rPr>
          <w:rFonts w:asciiTheme="minorHAnsi" w:eastAsiaTheme="minorEastAsia" w:hAnsiTheme="minorHAnsi" w:cstheme="minorBidi"/>
          <w:color w:val="auto"/>
          <w:sz w:val="22"/>
          <w:szCs w:val="22"/>
          <w:lang w:eastAsia="en-AU"/>
        </w:rPr>
      </w:pPr>
      <w:r>
        <w:t>Initial outcomes from VET in Schools programs in Australia</w:t>
      </w:r>
      <w:r>
        <w:tab/>
      </w:r>
      <w:r>
        <w:fldChar w:fldCharType="begin"/>
      </w:r>
      <w:r>
        <w:instrText xml:space="preserve"> PAGEREF _Toc19803930 \h </w:instrText>
      </w:r>
      <w:r>
        <w:fldChar w:fldCharType="separate"/>
      </w:r>
      <w:r w:rsidR="00BE614C">
        <w:t>56</w:t>
      </w:r>
      <w:r>
        <w:fldChar w:fldCharType="end"/>
      </w:r>
    </w:p>
    <w:p w14:paraId="0DD2F827" w14:textId="7971F136" w:rsidR="00146364" w:rsidRDefault="00146364">
      <w:pPr>
        <w:pStyle w:val="TOC1"/>
        <w:rPr>
          <w:rFonts w:asciiTheme="minorHAnsi" w:eastAsiaTheme="minorEastAsia" w:hAnsiTheme="minorHAnsi" w:cstheme="minorBidi"/>
          <w:color w:val="auto"/>
          <w:sz w:val="22"/>
          <w:szCs w:val="22"/>
          <w:lang w:eastAsia="en-AU"/>
        </w:rPr>
      </w:pPr>
      <w:r>
        <w:t>Section 4: School experiences, maths, and expectations of enrolling in university</w:t>
      </w:r>
      <w:r>
        <w:tab/>
      </w:r>
      <w:r>
        <w:fldChar w:fldCharType="begin"/>
      </w:r>
      <w:r>
        <w:instrText xml:space="preserve"> PAGEREF _Toc19803937 \h </w:instrText>
      </w:r>
      <w:r>
        <w:fldChar w:fldCharType="separate"/>
      </w:r>
      <w:r w:rsidR="00BE614C">
        <w:t>63</w:t>
      </w:r>
      <w:r>
        <w:fldChar w:fldCharType="end"/>
      </w:r>
    </w:p>
    <w:p w14:paraId="55BC688E" w14:textId="59F3B16F" w:rsidR="00146364" w:rsidRDefault="00146364" w:rsidP="00826A53">
      <w:pPr>
        <w:pStyle w:val="TOC1"/>
        <w:ind w:left="284"/>
        <w:rPr>
          <w:rFonts w:asciiTheme="minorHAnsi" w:eastAsiaTheme="minorEastAsia" w:hAnsiTheme="minorHAnsi" w:cstheme="minorBidi"/>
          <w:color w:val="auto"/>
          <w:sz w:val="22"/>
          <w:szCs w:val="22"/>
          <w:lang w:eastAsia="en-AU"/>
        </w:rPr>
      </w:pPr>
      <w:r>
        <w:t>Schools and career guidance key to widening university participation</w:t>
      </w:r>
      <w:r>
        <w:tab/>
      </w:r>
      <w:r>
        <w:fldChar w:fldCharType="begin"/>
      </w:r>
      <w:r>
        <w:instrText xml:space="preserve"> PAGEREF _Toc19803939 \h </w:instrText>
      </w:r>
      <w:r>
        <w:fldChar w:fldCharType="separate"/>
      </w:r>
      <w:r w:rsidR="00BE614C">
        <w:t>64</w:t>
      </w:r>
      <w:r>
        <w:fldChar w:fldCharType="end"/>
      </w:r>
    </w:p>
    <w:p w14:paraId="51A06F73" w14:textId="6FD4EF2D" w:rsidR="00146364" w:rsidRDefault="00146364" w:rsidP="00826A53">
      <w:pPr>
        <w:pStyle w:val="TOC1"/>
        <w:ind w:left="284"/>
        <w:rPr>
          <w:rFonts w:asciiTheme="minorHAnsi" w:eastAsiaTheme="minorEastAsia" w:hAnsiTheme="minorHAnsi" w:cstheme="minorBidi"/>
          <w:color w:val="auto"/>
          <w:sz w:val="22"/>
          <w:szCs w:val="22"/>
          <w:lang w:eastAsia="en-AU"/>
        </w:rPr>
      </w:pPr>
      <w:r>
        <w:t>The underrepresentation of women in maths-intensive fields of study: the role of teenage occupational expectations, self-assessed maths competence and subject choice in Year 12</w:t>
      </w:r>
      <w:r>
        <w:tab/>
      </w:r>
      <w:r>
        <w:fldChar w:fldCharType="begin"/>
      </w:r>
      <w:r>
        <w:instrText xml:space="preserve"> PAGEREF _Toc19803948 \h </w:instrText>
      </w:r>
      <w:r>
        <w:fldChar w:fldCharType="separate"/>
      </w:r>
      <w:r w:rsidR="00BE614C">
        <w:t>69</w:t>
      </w:r>
      <w:r>
        <w:fldChar w:fldCharType="end"/>
      </w:r>
    </w:p>
    <w:p w14:paraId="275F3D4C" w14:textId="2FC646C5" w:rsidR="00146364" w:rsidRDefault="00146364" w:rsidP="00826A53">
      <w:pPr>
        <w:pStyle w:val="TOC1"/>
        <w:ind w:left="284"/>
        <w:rPr>
          <w:rFonts w:asciiTheme="minorHAnsi" w:eastAsiaTheme="minorEastAsia" w:hAnsiTheme="minorHAnsi" w:cstheme="minorBidi"/>
          <w:color w:val="auto"/>
          <w:sz w:val="22"/>
          <w:szCs w:val="22"/>
          <w:lang w:eastAsia="en-AU"/>
        </w:rPr>
      </w:pPr>
      <w:r>
        <w:t>Juxtaposing maths self-efficacy and self-concept as predictors of long-term achievement outcomes</w:t>
      </w:r>
      <w:r>
        <w:tab/>
      </w:r>
      <w:r>
        <w:fldChar w:fldCharType="begin"/>
      </w:r>
      <w:r>
        <w:instrText xml:space="preserve"> PAGEREF _Toc19803954 \h </w:instrText>
      </w:r>
      <w:r>
        <w:fldChar w:fldCharType="separate"/>
      </w:r>
      <w:r w:rsidR="00BE614C">
        <w:t>75</w:t>
      </w:r>
      <w:r>
        <w:fldChar w:fldCharType="end"/>
      </w:r>
    </w:p>
    <w:p w14:paraId="31C11A2F" w14:textId="5E7DA86A" w:rsidR="00146364" w:rsidRDefault="00146364" w:rsidP="00826A53">
      <w:pPr>
        <w:pStyle w:val="TOC1"/>
        <w:rPr>
          <w:rFonts w:asciiTheme="minorHAnsi" w:eastAsiaTheme="minorEastAsia" w:hAnsiTheme="minorHAnsi" w:cstheme="minorBidi"/>
          <w:color w:val="auto"/>
          <w:sz w:val="22"/>
          <w:szCs w:val="22"/>
          <w:lang w:eastAsia="en-AU"/>
        </w:rPr>
      </w:pPr>
      <w:r>
        <w:t>Section 5: Employment and  post-school outcomes</w:t>
      </w:r>
      <w:r>
        <w:tab/>
      </w:r>
      <w:r>
        <w:fldChar w:fldCharType="begin"/>
      </w:r>
      <w:r>
        <w:instrText xml:space="preserve"> PAGEREF _Toc19803958 \h </w:instrText>
      </w:r>
      <w:r>
        <w:fldChar w:fldCharType="separate"/>
      </w:r>
      <w:r w:rsidR="00BE614C">
        <w:t>79</w:t>
      </w:r>
      <w:r>
        <w:fldChar w:fldCharType="end"/>
      </w:r>
    </w:p>
    <w:p w14:paraId="58165065" w14:textId="072EAFFB" w:rsidR="00146364" w:rsidRDefault="00146364" w:rsidP="00826A53">
      <w:pPr>
        <w:pStyle w:val="TOC1"/>
        <w:ind w:left="284"/>
        <w:rPr>
          <w:rFonts w:asciiTheme="minorHAnsi" w:eastAsiaTheme="minorEastAsia" w:hAnsiTheme="minorHAnsi" w:cstheme="minorBidi"/>
          <w:color w:val="auto"/>
          <w:sz w:val="22"/>
          <w:szCs w:val="22"/>
          <w:lang w:eastAsia="en-AU"/>
        </w:rPr>
      </w:pPr>
      <w:r>
        <w:t>Adolescent occupational expectations: two decades of LSAY-based research</w:t>
      </w:r>
      <w:r>
        <w:tab/>
      </w:r>
      <w:r>
        <w:fldChar w:fldCharType="begin"/>
      </w:r>
      <w:r>
        <w:instrText xml:space="preserve"> PAGEREF _Toc19803960 \h </w:instrText>
      </w:r>
      <w:r>
        <w:fldChar w:fldCharType="separate"/>
      </w:r>
      <w:r w:rsidR="00BE614C">
        <w:t>80</w:t>
      </w:r>
      <w:r>
        <w:fldChar w:fldCharType="end"/>
      </w:r>
    </w:p>
    <w:p w14:paraId="0FADD229" w14:textId="2024BC33" w:rsidR="00146364" w:rsidRDefault="00146364" w:rsidP="00826A53">
      <w:pPr>
        <w:pStyle w:val="TOC1"/>
        <w:ind w:left="284"/>
        <w:rPr>
          <w:rFonts w:asciiTheme="minorHAnsi" w:eastAsiaTheme="minorEastAsia" w:hAnsiTheme="minorHAnsi" w:cstheme="minorBidi"/>
          <w:color w:val="auto"/>
          <w:sz w:val="22"/>
          <w:szCs w:val="22"/>
          <w:lang w:eastAsia="en-AU"/>
        </w:rPr>
      </w:pPr>
      <w:r>
        <w:t>Who takes a gap year and why?</w:t>
      </w:r>
      <w:r>
        <w:tab/>
      </w:r>
      <w:r>
        <w:fldChar w:fldCharType="begin"/>
      </w:r>
      <w:r>
        <w:instrText xml:space="preserve"> PAGEREF _Toc19803969 \h </w:instrText>
      </w:r>
      <w:r>
        <w:fldChar w:fldCharType="separate"/>
      </w:r>
      <w:r w:rsidR="00BE614C">
        <w:t>87</w:t>
      </w:r>
      <w:r>
        <w:fldChar w:fldCharType="end"/>
      </w:r>
    </w:p>
    <w:p w14:paraId="3A47CD20" w14:textId="16B165B3" w:rsidR="00146364" w:rsidRDefault="00146364" w:rsidP="000529A2">
      <w:pPr>
        <w:pStyle w:val="TOC1"/>
        <w:ind w:left="284"/>
        <w:rPr>
          <w:rFonts w:asciiTheme="minorHAnsi" w:eastAsiaTheme="minorEastAsia" w:hAnsiTheme="minorHAnsi" w:cstheme="minorBidi"/>
          <w:color w:val="auto"/>
          <w:sz w:val="22"/>
          <w:szCs w:val="22"/>
          <w:lang w:eastAsia="en-AU"/>
        </w:rPr>
      </w:pPr>
      <w:r>
        <w:t>Does combining school and work affect school and post-school outcomes?</w:t>
      </w:r>
      <w:r>
        <w:tab/>
      </w:r>
      <w:r>
        <w:fldChar w:fldCharType="begin"/>
      </w:r>
      <w:r>
        <w:instrText xml:space="preserve"> PAGEREF _Toc19803977 \h </w:instrText>
      </w:r>
      <w:r>
        <w:fldChar w:fldCharType="separate"/>
      </w:r>
      <w:r w:rsidR="00BE614C">
        <w:t>92</w:t>
      </w:r>
      <w:r>
        <w:fldChar w:fldCharType="end"/>
      </w:r>
    </w:p>
    <w:p w14:paraId="5C228281" w14:textId="7E63918D" w:rsidR="00146364" w:rsidRDefault="00146364" w:rsidP="00774829">
      <w:pPr>
        <w:pStyle w:val="TOC1"/>
        <w:ind w:left="284"/>
        <w:rPr>
          <w:rFonts w:asciiTheme="minorHAnsi" w:eastAsiaTheme="minorEastAsia" w:hAnsiTheme="minorHAnsi" w:cstheme="minorBidi"/>
          <w:color w:val="auto"/>
          <w:sz w:val="22"/>
          <w:szCs w:val="22"/>
          <w:lang w:eastAsia="en-AU"/>
        </w:rPr>
      </w:pPr>
      <w:r>
        <w:t>Young people not in education, employment or training (NEET)</w:t>
      </w:r>
      <w:r>
        <w:tab/>
      </w:r>
      <w:r>
        <w:fldChar w:fldCharType="begin"/>
      </w:r>
      <w:r>
        <w:instrText xml:space="preserve"> PAGEREF _Toc19803986 \h </w:instrText>
      </w:r>
      <w:r>
        <w:fldChar w:fldCharType="separate"/>
      </w:r>
      <w:r w:rsidR="00BE614C">
        <w:t>103</w:t>
      </w:r>
      <w:r>
        <w:fldChar w:fldCharType="end"/>
      </w:r>
    </w:p>
    <w:p w14:paraId="3F57771D" w14:textId="75695458" w:rsidR="00146364" w:rsidRDefault="00146364">
      <w:pPr>
        <w:pStyle w:val="TOC1"/>
        <w:rPr>
          <w:rFonts w:asciiTheme="minorHAnsi" w:eastAsiaTheme="minorEastAsia" w:hAnsiTheme="minorHAnsi" w:cstheme="minorBidi"/>
          <w:color w:val="auto"/>
          <w:sz w:val="22"/>
          <w:szCs w:val="22"/>
          <w:lang w:eastAsia="en-AU"/>
        </w:rPr>
      </w:pPr>
      <w:r>
        <w:t>Section 6: An overview of school-to-work transitions</w:t>
      </w:r>
      <w:r>
        <w:tab/>
      </w:r>
      <w:r>
        <w:fldChar w:fldCharType="begin"/>
      </w:r>
      <w:r>
        <w:instrText xml:space="preserve"> PAGEREF _Toc19803993 \h </w:instrText>
      </w:r>
      <w:r>
        <w:fldChar w:fldCharType="separate"/>
      </w:r>
      <w:r w:rsidR="00BE614C">
        <w:t>109</w:t>
      </w:r>
      <w:r>
        <w:fldChar w:fldCharType="end"/>
      </w:r>
    </w:p>
    <w:p w14:paraId="127F2DE2" w14:textId="72FE09DE" w:rsidR="00146364" w:rsidRDefault="00146364" w:rsidP="00774829">
      <w:pPr>
        <w:pStyle w:val="TOC1"/>
        <w:ind w:left="284"/>
        <w:rPr>
          <w:rFonts w:asciiTheme="minorHAnsi" w:eastAsiaTheme="minorEastAsia" w:hAnsiTheme="minorHAnsi" w:cstheme="minorBidi"/>
          <w:color w:val="auto"/>
          <w:sz w:val="22"/>
          <w:szCs w:val="22"/>
          <w:lang w:eastAsia="en-AU"/>
        </w:rPr>
      </w:pPr>
      <w:r>
        <w:t>School-to-work transitions: untangling the pathways</w:t>
      </w:r>
      <w:r>
        <w:tab/>
      </w:r>
      <w:r>
        <w:fldChar w:fldCharType="begin"/>
      </w:r>
      <w:r>
        <w:instrText xml:space="preserve"> PAGEREF _Toc19803995 \h </w:instrText>
      </w:r>
      <w:r>
        <w:fldChar w:fldCharType="separate"/>
      </w:r>
      <w:r w:rsidR="00BE614C">
        <w:t>110</w:t>
      </w:r>
      <w:r>
        <w:fldChar w:fldCharType="end"/>
      </w:r>
    </w:p>
    <w:p w14:paraId="0AF2363A" w14:textId="5B5738A2" w:rsidR="007E15D1" w:rsidRDefault="002947D3" w:rsidP="007E15D1">
      <w:pPr>
        <w:pStyle w:val="Text"/>
        <w:ind w:right="-567"/>
        <w:rPr>
          <w:rFonts w:ascii="Avant Garde" w:hAnsi="Avant Garde"/>
          <w:noProof/>
          <w:color w:val="000000"/>
          <w:szCs w:val="19"/>
        </w:rPr>
      </w:pPr>
      <w:r>
        <w:rPr>
          <w:rFonts w:ascii="Avant Garde" w:hAnsi="Avant Garde"/>
          <w:noProof/>
          <w:color w:val="000000"/>
          <w:szCs w:val="19"/>
        </w:rPr>
        <w:fldChar w:fldCharType="end"/>
      </w:r>
    </w:p>
    <w:p w14:paraId="09171761" w14:textId="77777777" w:rsidR="00ED0C08" w:rsidRPr="00E612BF" w:rsidRDefault="00ED0C08" w:rsidP="00487F8F">
      <w:pPr>
        <w:pStyle w:val="Heading1"/>
        <w:spacing w:after="480"/>
      </w:pPr>
      <w:bookmarkStart w:id="29" w:name="_Toc316371579"/>
      <w:bookmarkStart w:id="30" w:name="_Toc19803887"/>
      <w:r w:rsidRPr="00E612BF">
        <w:lastRenderedPageBreak/>
        <w:t>Tables and figures</w:t>
      </w:r>
      <w:bookmarkEnd w:id="29"/>
      <w:bookmarkEnd w:id="30"/>
    </w:p>
    <w:p w14:paraId="55E8A294" w14:textId="77777777" w:rsidR="00ED0C08" w:rsidRDefault="00ED0C08" w:rsidP="00B1704F">
      <w:pPr>
        <w:pStyle w:val="Heading2"/>
        <w:ind w:right="-709"/>
      </w:pPr>
      <w:bookmarkStart w:id="31" w:name="_Toc296497516"/>
      <w:bookmarkStart w:id="32" w:name="_Toc298162801"/>
      <w:bookmarkStart w:id="33" w:name="_Toc316371580"/>
      <w:bookmarkStart w:id="34" w:name="_Toc19803888"/>
      <w:r>
        <w:t>Tables</w:t>
      </w:r>
      <w:bookmarkEnd w:id="31"/>
      <w:bookmarkEnd w:id="32"/>
      <w:bookmarkEnd w:id="33"/>
      <w:bookmarkEnd w:id="34"/>
    </w:p>
    <w:p w14:paraId="07DD3B35" w14:textId="173323C0" w:rsidR="004D59CF" w:rsidRDefault="00ED0C08" w:rsidP="00C17DE5">
      <w:pPr>
        <w:pStyle w:val="TableofFigures"/>
        <w:tabs>
          <w:tab w:val="clear" w:pos="284"/>
          <w:tab w:val="left" w:pos="426"/>
          <w:tab w:val="left" w:pos="953"/>
        </w:tabs>
        <w:ind w:left="426" w:right="1985" w:hanging="426"/>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4D59CF">
        <w:t>1</w:t>
      </w:r>
      <w:r w:rsidR="00774829">
        <w:tab/>
      </w:r>
      <w:r w:rsidR="004D59CF">
        <w:t>Cohorts of the LSAY</w:t>
      </w:r>
      <w:r w:rsidR="004D59CF">
        <w:tab/>
      </w:r>
      <w:r w:rsidR="004D59CF">
        <w:fldChar w:fldCharType="begin"/>
      </w:r>
      <w:r w:rsidR="004D59CF">
        <w:instrText xml:space="preserve"> PAGEREF _Toc19001658 \h </w:instrText>
      </w:r>
      <w:r w:rsidR="004D59CF">
        <w:fldChar w:fldCharType="separate"/>
      </w:r>
      <w:r w:rsidR="00BE614C">
        <w:t>8</w:t>
      </w:r>
      <w:r w:rsidR="004D59CF">
        <w:fldChar w:fldCharType="end"/>
      </w:r>
    </w:p>
    <w:p w14:paraId="4D351A8C" w14:textId="39E866E7" w:rsidR="004D59CF" w:rsidRDefault="004D59CF" w:rsidP="00C17DE5">
      <w:pPr>
        <w:pStyle w:val="TableofFigures"/>
        <w:tabs>
          <w:tab w:val="clear" w:pos="284"/>
          <w:tab w:val="left" w:pos="426"/>
          <w:tab w:val="left" w:pos="950"/>
        </w:tabs>
        <w:ind w:left="426" w:right="1985" w:hanging="426"/>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Descriptive statistics</w:t>
      </w:r>
      <w:r>
        <w:tab/>
      </w:r>
      <w:r>
        <w:fldChar w:fldCharType="begin"/>
      </w:r>
      <w:r>
        <w:instrText xml:space="preserve"> PAGEREF _Toc19001659 \h </w:instrText>
      </w:r>
      <w:r>
        <w:fldChar w:fldCharType="separate"/>
      </w:r>
      <w:r w:rsidR="00BE614C">
        <w:t>31</w:t>
      </w:r>
      <w:r>
        <w:fldChar w:fldCharType="end"/>
      </w:r>
    </w:p>
    <w:p w14:paraId="094852D7" w14:textId="2962B179" w:rsidR="004D59CF" w:rsidRDefault="004D59CF" w:rsidP="00C17DE5">
      <w:pPr>
        <w:pStyle w:val="TableofFigures"/>
        <w:tabs>
          <w:tab w:val="clear" w:pos="284"/>
          <w:tab w:val="left" w:pos="426"/>
          <w:tab w:val="left" w:pos="950"/>
        </w:tabs>
        <w:ind w:left="426" w:hanging="426"/>
        <w:rPr>
          <w:rFonts w:asciiTheme="minorHAnsi" w:eastAsiaTheme="minorEastAsia" w:hAnsiTheme="minorHAnsi" w:cstheme="minorBidi"/>
          <w:color w:val="auto"/>
          <w:sz w:val="22"/>
          <w:szCs w:val="22"/>
          <w:lang w:eastAsia="en-AU"/>
        </w:rPr>
      </w:pPr>
      <w:r>
        <w:t xml:space="preserve">3 </w:t>
      </w:r>
      <w:r>
        <w:rPr>
          <w:rFonts w:asciiTheme="minorHAnsi" w:eastAsiaTheme="minorEastAsia" w:hAnsiTheme="minorHAnsi" w:cstheme="minorBidi"/>
          <w:color w:val="auto"/>
          <w:sz w:val="22"/>
          <w:szCs w:val="22"/>
          <w:lang w:eastAsia="en-AU"/>
        </w:rPr>
        <w:tab/>
      </w:r>
      <w:r>
        <w:t>Results of logistic regression predicting students’ participation in a science subject</w:t>
      </w:r>
      <w:r>
        <w:tab/>
      </w:r>
      <w:r>
        <w:fldChar w:fldCharType="begin"/>
      </w:r>
      <w:r>
        <w:instrText xml:space="preserve"> PAGEREF _Toc19001660 \h </w:instrText>
      </w:r>
      <w:r>
        <w:fldChar w:fldCharType="separate"/>
      </w:r>
      <w:r w:rsidR="00BE614C">
        <w:t>32</w:t>
      </w:r>
      <w:r>
        <w:fldChar w:fldCharType="end"/>
      </w:r>
    </w:p>
    <w:p w14:paraId="369EBDC0" w14:textId="760CCBFB" w:rsidR="004D59CF" w:rsidRDefault="004D59CF" w:rsidP="00C17DE5">
      <w:pPr>
        <w:pStyle w:val="TableofFigures"/>
        <w:tabs>
          <w:tab w:val="clear" w:pos="284"/>
          <w:tab w:val="left" w:pos="426"/>
          <w:tab w:val="left" w:pos="950"/>
        </w:tabs>
        <w:ind w:left="426" w:right="2126" w:hanging="426"/>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rPr>
          <w:lang w:eastAsia="en-AU"/>
        </w:rPr>
        <w:t>The effects of the prestige of universities and fields of study on log gross weekly pay and occupational prestige among young people</w:t>
      </w:r>
      <w:r w:rsidR="00774829">
        <w:tab/>
      </w:r>
      <w:r>
        <w:fldChar w:fldCharType="begin"/>
      </w:r>
      <w:r>
        <w:instrText xml:space="preserve"> PAGEREF _Toc19001661 \h </w:instrText>
      </w:r>
      <w:r>
        <w:fldChar w:fldCharType="separate"/>
      </w:r>
      <w:r w:rsidR="00BE614C">
        <w:t>37</w:t>
      </w:r>
      <w:r>
        <w:fldChar w:fldCharType="end"/>
      </w:r>
    </w:p>
    <w:p w14:paraId="02E238B5" w14:textId="15330519" w:rsidR="004D59CF" w:rsidRDefault="004D59CF" w:rsidP="00C17DE5">
      <w:pPr>
        <w:pStyle w:val="TableofFigures"/>
        <w:tabs>
          <w:tab w:val="clear" w:pos="284"/>
          <w:tab w:val="left" w:pos="426"/>
          <w:tab w:val="left" w:pos="950"/>
        </w:tabs>
        <w:ind w:left="426" w:hanging="426"/>
        <w:rPr>
          <w:rFonts w:asciiTheme="minorHAnsi" w:eastAsiaTheme="minorEastAsia" w:hAnsiTheme="minorHAnsi" w:cstheme="minorBidi"/>
          <w:color w:val="auto"/>
          <w:sz w:val="22"/>
          <w:szCs w:val="22"/>
          <w:lang w:eastAsia="en-AU"/>
        </w:rPr>
      </w:pPr>
      <w:r>
        <w:rPr>
          <w:lang w:eastAsia="en-AU"/>
        </w:rPr>
        <w:t>5</w:t>
      </w:r>
      <w:r>
        <w:rPr>
          <w:rFonts w:asciiTheme="minorHAnsi" w:eastAsiaTheme="minorEastAsia" w:hAnsiTheme="minorHAnsi" w:cstheme="minorBidi"/>
          <w:color w:val="auto"/>
          <w:sz w:val="22"/>
          <w:szCs w:val="22"/>
          <w:lang w:eastAsia="en-AU"/>
        </w:rPr>
        <w:tab/>
      </w:r>
      <w:r>
        <w:rPr>
          <w:lang w:eastAsia="en-AU"/>
        </w:rPr>
        <w:t xml:space="preserve">Family background predicting </w:t>
      </w:r>
      <w:r>
        <w:t xml:space="preserve">the </w:t>
      </w:r>
      <w:r>
        <w:rPr>
          <w:lang w:eastAsia="en-AU"/>
        </w:rPr>
        <w:t>selection of universities</w:t>
      </w:r>
      <w:r>
        <w:tab/>
      </w:r>
      <w:r>
        <w:fldChar w:fldCharType="begin"/>
      </w:r>
      <w:r>
        <w:instrText xml:space="preserve"> PAGEREF _Toc19001662 \h </w:instrText>
      </w:r>
      <w:r>
        <w:fldChar w:fldCharType="separate"/>
      </w:r>
      <w:r w:rsidR="00BE614C">
        <w:t>38</w:t>
      </w:r>
      <w:r>
        <w:fldChar w:fldCharType="end"/>
      </w:r>
    </w:p>
    <w:p w14:paraId="3BA635F2" w14:textId="6E991628" w:rsidR="004D59CF" w:rsidRDefault="004D59CF" w:rsidP="00C17DE5">
      <w:pPr>
        <w:pStyle w:val="TableofFigures"/>
        <w:tabs>
          <w:tab w:val="clear" w:pos="284"/>
          <w:tab w:val="left" w:pos="426"/>
          <w:tab w:val="left" w:pos="950"/>
        </w:tabs>
        <w:ind w:left="426" w:hanging="426"/>
        <w:rPr>
          <w:rFonts w:asciiTheme="minorHAnsi" w:eastAsiaTheme="minorEastAsia" w:hAnsiTheme="minorHAnsi" w:cstheme="minorBidi"/>
          <w:color w:val="auto"/>
          <w:sz w:val="22"/>
          <w:szCs w:val="22"/>
          <w:lang w:eastAsia="en-AU"/>
        </w:rPr>
      </w:pPr>
      <w:r>
        <w:rPr>
          <w:lang w:eastAsia="en-AU"/>
        </w:rPr>
        <w:t>6</w:t>
      </w:r>
      <w:r>
        <w:rPr>
          <w:rFonts w:asciiTheme="minorHAnsi" w:eastAsiaTheme="minorEastAsia" w:hAnsiTheme="minorHAnsi" w:cstheme="minorBidi"/>
          <w:color w:val="auto"/>
          <w:sz w:val="22"/>
          <w:szCs w:val="22"/>
          <w:lang w:eastAsia="en-AU"/>
        </w:rPr>
        <w:tab/>
      </w:r>
      <w:r>
        <w:rPr>
          <w:lang w:eastAsia="en-AU"/>
        </w:rPr>
        <w:t>Family background predicting</w:t>
      </w:r>
      <w:r w:rsidRPr="009C3CDD">
        <w:rPr>
          <w:rFonts w:eastAsia="Malgun Gothic"/>
          <w:lang w:eastAsia="ko-KR"/>
        </w:rPr>
        <w:t xml:space="preserve"> fields of study</w:t>
      </w:r>
      <w:r>
        <w:tab/>
      </w:r>
      <w:r>
        <w:fldChar w:fldCharType="begin"/>
      </w:r>
      <w:r>
        <w:instrText xml:space="preserve"> PAGEREF _Toc19001663 \h </w:instrText>
      </w:r>
      <w:r>
        <w:fldChar w:fldCharType="separate"/>
      </w:r>
      <w:r w:rsidR="00BE614C">
        <w:t>38</w:t>
      </w:r>
      <w:r>
        <w:fldChar w:fldCharType="end"/>
      </w:r>
    </w:p>
    <w:p w14:paraId="7270559D" w14:textId="0858E84B" w:rsidR="004D59CF" w:rsidRDefault="004D59CF" w:rsidP="00C17DE5">
      <w:pPr>
        <w:pStyle w:val="TableofFigures"/>
        <w:tabs>
          <w:tab w:val="clear" w:pos="284"/>
          <w:tab w:val="left" w:pos="426"/>
          <w:tab w:val="left" w:pos="953"/>
        </w:tabs>
        <w:ind w:left="426" w:right="1985" w:hanging="426"/>
        <w:rPr>
          <w:rFonts w:asciiTheme="minorHAnsi" w:eastAsiaTheme="minorEastAsia" w:hAnsiTheme="minorHAnsi" w:cstheme="minorBidi"/>
          <w:color w:val="auto"/>
          <w:sz w:val="22"/>
          <w:szCs w:val="22"/>
          <w:lang w:eastAsia="en-AU"/>
        </w:rPr>
      </w:pPr>
      <w:r>
        <w:t>7</w:t>
      </w:r>
      <w:r w:rsidR="00774829">
        <w:tab/>
      </w:r>
      <w:r>
        <w:t>Effects of student SES and school SES on PISA scores</w:t>
      </w:r>
      <w:r>
        <w:tab/>
      </w:r>
      <w:r>
        <w:fldChar w:fldCharType="begin"/>
      </w:r>
      <w:r>
        <w:instrText xml:space="preserve"> PAGEREF _Toc19001664 \h </w:instrText>
      </w:r>
      <w:r>
        <w:fldChar w:fldCharType="separate"/>
      </w:r>
      <w:r w:rsidR="00BE614C">
        <w:t>42</w:t>
      </w:r>
      <w:r>
        <w:fldChar w:fldCharType="end"/>
      </w:r>
    </w:p>
    <w:p w14:paraId="5A914A91" w14:textId="473834E7" w:rsidR="004D59CF" w:rsidRDefault="004D59CF" w:rsidP="00C17DE5">
      <w:pPr>
        <w:pStyle w:val="TableofFigures"/>
        <w:tabs>
          <w:tab w:val="clear" w:pos="284"/>
          <w:tab w:val="left" w:pos="426"/>
          <w:tab w:val="left" w:pos="953"/>
        </w:tabs>
        <w:ind w:left="426" w:right="1985" w:hanging="426"/>
        <w:rPr>
          <w:rFonts w:asciiTheme="minorHAnsi" w:eastAsiaTheme="minorEastAsia" w:hAnsiTheme="minorHAnsi" w:cstheme="minorBidi"/>
          <w:color w:val="auto"/>
          <w:sz w:val="22"/>
          <w:szCs w:val="22"/>
          <w:lang w:eastAsia="en-AU"/>
        </w:rPr>
      </w:pPr>
      <w:r>
        <w:t xml:space="preserve">8 </w:t>
      </w:r>
      <w:r w:rsidR="00774829">
        <w:tab/>
        <w:t>L</w:t>
      </w:r>
      <w:r>
        <w:t>ikelihood of enrolling in a bachelor’s degree according to student SES and school SES</w:t>
      </w:r>
      <w:r>
        <w:tab/>
      </w:r>
      <w:r>
        <w:fldChar w:fldCharType="begin"/>
      </w:r>
      <w:r>
        <w:instrText xml:space="preserve"> PAGEREF _Toc19001665 \h </w:instrText>
      </w:r>
      <w:r>
        <w:fldChar w:fldCharType="separate"/>
      </w:r>
      <w:r w:rsidR="00BE614C">
        <w:t>43</w:t>
      </w:r>
      <w:r>
        <w:fldChar w:fldCharType="end"/>
      </w:r>
    </w:p>
    <w:p w14:paraId="12E6711F" w14:textId="3B778015" w:rsidR="004D59CF" w:rsidRDefault="004D59CF" w:rsidP="00C17DE5">
      <w:pPr>
        <w:pStyle w:val="TableofFigures"/>
        <w:tabs>
          <w:tab w:val="clear" w:pos="284"/>
          <w:tab w:val="left" w:pos="426"/>
          <w:tab w:val="left" w:pos="950"/>
        </w:tabs>
        <w:ind w:left="426" w:hanging="426"/>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Percentages of the Y95 cohort undertaking post-school programs, both first and subsequent</w:t>
      </w:r>
      <w:r>
        <w:tab/>
      </w:r>
      <w:r>
        <w:fldChar w:fldCharType="begin"/>
      </w:r>
      <w:r>
        <w:instrText xml:space="preserve"> PAGEREF _Toc19001666 \h </w:instrText>
      </w:r>
      <w:r>
        <w:fldChar w:fldCharType="separate"/>
      </w:r>
      <w:r w:rsidR="00BE614C">
        <w:t>48</w:t>
      </w:r>
      <w:r>
        <w:fldChar w:fldCharType="end"/>
      </w:r>
    </w:p>
    <w:p w14:paraId="2D8E80F0" w14:textId="388F421D" w:rsidR="004D59CF" w:rsidRDefault="004D59CF" w:rsidP="00C17DE5">
      <w:pPr>
        <w:pStyle w:val="TableofFigures"/>
        <w:tabs>
          <w:tab w:val="clear" w:pos="284"/>
          <w:tab w:val="left" w:pos="426"/>
          <w:tab w:val="right" w:pos="953"/>
        </w:tabs>
        <w:ind w:left="426" w:right="1985" w:hanging="426"/>
        <w:rPr>
          <w:rFonts w:asciiTheme="minorHAnsi" w:eastAsiaTheme="minorEastAsia" w:hAnsiTheme="minorHAnsi" w:cstheme="minorBidi"/>
          <w:color w:val="auto"/>
          <w:sz w:val="22"/>
          <w:szCs w:val="22"/>
          <w:lang w:eastAsia="en-AU"/>
        </w:rPr>
      </w:pPr>
      <w:r w:rsidRPr="009C3CDD">
        <w:rPr>
          <w:rFonts w:cs="Arial"/>
          <w:lang w:eastAsia="en-AU"/>
        </w:rPr>
        <w:t>10</w:t>
      </w:r>
      <w:r w:rsidR="00774829">
        <w:rPr>
          <w:rFonts w:cs="Arial"/>
          <w:lang w:eastAsia="en-AU"/>
        </w:rPr>
        <w:tab/>
      </w:r>
      <w:r w:rsidR="00774829">
        <w:rPr>
          <w:rFonts w:cs="Arial"/>
          <w:lang w:eastAsia="en-AU"/>
        </w:rPr>
        <w:tab/>
      </w:r>
      <w:r>
        <w:t>Unemployment rates and apprenticeship commencements by selected age groups, 2006</w:t>
      </w:r>
      <w:r w:rsidRPr="009C3CDD">
        <w:rPr>
          <w:rFonts w:cs="Arial"/>
        </w:rPr>
        <w:t>−</w:t>
      </w:r>
      <w:r>
        <w:t>16</w:t>
      </w:r>
      <w:r>
        <w:tab/>
      </w:r>
      <w:r>
        <w:fldChar w:fldCharType="begin"/>
      </w:r>
      <w:r>
        <w:instrText xml:space="preserve"> PAGEREF _Toc19001667 \h </w:instrText>
      </w:r>
      <w:r>
        <w:fldChar w:fldCharType="separate"/>
      </w:r>
      <w:r w:rsidR="00BE614C">
        <w:t>50</w:t>
      </w:r>
      <w:r>
        <w:fldChar w:fldCharType="end"/>
      </w:r>
    </w:p>
    <w:p w14:paraId="4EF54663" w14:textId="66E73CF6" w:rsidR="004D59CF" w:rsidRDefault="004D59CF" w:rsidP="00C17DE5">
      <w:pPr>
        <w:pStyle w:val="TableofFigures"/>
        <w:tabs>
          <w:tab w:val="clear" w:pos="284"/>
          <w:tab w:val="left" w:pos="426"/>
          <w:tab w:val="left" w:pos="953"/>
          <w:tab w:val="left" w:pos="1140"/>
        </w:tabs>
        <w:ind w:left="426" w:right="1985" w:hanging="426"/>
        <w:rPr>
          <w:rFonts w:asciiTheme="minorHAnsi" w:eastAsiaTheme="minorEastAsia" w:hAnsiTheme="minorHAnsi" w:cstheme="minorBidi"/>
          <w:color w:val="auto"/>
          <w:sz w:val="22"/>
          <w:szCs w:val="22"/>
          <w:lang w:eastAsia="en-AU"/>
        </w:rPr>
      </w:pPr>
      <w:r w:rsidRPr="009C3CDD">
        <w:rPr>
          <w:rFonts w:cs="Arial"/>
          <w:lang w:eastAsia="en-AU"/>
        </w:rPr>
        <w:t>11</w:t>
      </w:r>
      <w:r w:rsidR="00774829">
        <w:rPr>
          <w:rFonts w:asciiTheme="minorHAnsi" w:eastAsiaTheme="minorEastAsia" w:hAnsiTheme="minorHAnsi" w:cstheme="minorBidi"/>
          <w:color w:val="auto"/>
          <w:sz w:val="22"/>
          <w:szCs w:val="22"/>
          <w:lang w:eastAsia="en-AU"/>
        </w:rPr>
        <w:tab/>
      </w:r>
      <w:r>
        <w:t>Trends in tertiary education commencements, 2006</w:t>
      </w:r>
      <w:r w:rsidRPr="009C3CDD">
        <w:rPr>
          <w:rFonts w:cs="Arial"/>
        </w:rPr>
        <w:t>−</w:t>
      </w:r>
      <w:r>
        <w:t>16</w:t>
      </w:r>
      <w:r>
        <w:tab/>
      </w:r>
      <w:r>
        <w:fldChar w:fldCharType="begin"/>
      </w:r>
      <w:r>
        <w:instrText xml:space="preserve"> PAGEREF _Toc19001668 \h </w:instrText>
      </w:r>
      <w:r>
        <w:fldChar w:fldCharType="separate"/>
      </w:r>
      <w:r w:rsidR="00BE614C">
        <w:t>51</w:t>
      </w:r>
      <w:r>
        <w:fldChar w:fldCharType="end"/>
      </w:r>
    </w:p>
    <w:p w14:paraId="329A1D95" w14:textId="25E8C5C1" w:rsidR="004D59CF" w:rsidRDefault="004D59CF" w:rsidP="00C17DE5">
      <w:pPr>
        <w:pStyle w:val="TableofFigures"/>
        <w:tabs>
          <w:tab w:val="clear" w:pos="284"/>
          <w:tab w:val="left" w:pos="426"/>
          <w:tab w:val="left" w:pos="953"/>
          <w:tab w:val="left" w:pos="1140"/>
        </w:tabs>
        <w:ind w:left="426" w:right="1985" w:hanging="426"/>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Frequencies of students’ first post-school study programs for the LSAY Y06 cohort</w:t>
      </w:r>
      <w:r>
        <w:tab/>
      </w:r>
      <w:r>
        <w:fldChar w:fldCharType="begin"/>
      </w:r>
      <w:r>
        <w:instrText xml:space="preserve"> PAGEREF _Toc19001669 \h </w:instrText>
      </w:r>
      <w:r>
        <w:fldChar w:fldCharType="separate"/>
      </w:r>
      <w:r w:rsidR="00BE614C">
        <w:t>53</w:t>
      </w:r>
      <w:r>
        <w:fldChar w:fldCharType="end"/>
      </w:r>
    </w:p>
    <w:p w14:paraId="5D6D99E5" w14:textId="40631344" w:rsidR="004D59CF" w:rsidRDefault="004D59CF" w:rsidP="00C17DE5">
      <w:pPr>
        <w:pStyle w:val="TableofFigures"/>
        <w:tabs>
          <w:tab w:val="clear" w:pos="284"/>
          <w:tab w:val="left" w:pos="426"/>
          <w:tab w:val="left" w:pos="953"/>
          <w:tab w:val="left" w:pos="1140"/>
        </w:tabs>
        <w:ind w:left="426" w:right="1985" w:hanging="426"/>
        <w:rPr>
          <w:rFonts w:asciiTheme="minorHAnsi" w:eastAsiaTheme="minorEastAsia" w:hAnsiTheme="minorHAnsi" w:cstheme="minorBidi"/>
          <w:color w:val="auto"/>
          <w:sz w:val="22"/>
          <w:szCs w:val="22"/>
          <w:lang w:eastAsia="en-AU"/>
        </w:rPr>
      </w:pPr>
      <w:r>
        <w:t>13</w:t>
      </w:r>
      <w:r w:rsidR="00774829">
        <w:rPr>
          <w:rFonts w:asciiTheme="minorHAnsi" w:eastAsiaTheme="minorEastAsia" w:hAnsiTheme="minorHAnsi" w:cstheme="minorBidi"/>
          <w:color w:val="auto"/>
          <w:sz w:val="22"/>
          <w:szCs w:val="22"/>
          <w:lang w:eastAsia="en-AU"/>
        </w:rPr>
        <w:tab/>
      </w:r>
      <w:r>
        <w:t>Estimates of transfers between VET and higher education for the LSAY Y06 cohort</w:t>
      </w:r>
      <w:r>
        <w:tab/>
      </w:r>
      <w:r>
        <w:fldChar w:fldCharType="begin"/>
      </w:r>
      <w:r>
        <w:instrText xml:space="preserve"> PAGEREF _Toc19001670 \h </w:instrText>
      </w:r>
      <w:r>
        <w:fldChar w:fldCharType="separate"/>
      </w:r>
      <w:r w:rsidR="00BE614C">
        <w:t>53</w:t>
      </w:r>
      <w:r>
        <w:fldChar w:fldCharType="end"/>
      </w:r>
    </w:p>
    <w:p w14:paraId="50B5CBF1" w14:textId="3F991E7A" w:rsidR="004D59CF" w:rsidRDefault="004D59CF" w:rsidP="00C17DE5">
      <w:pPr>
        <w:pStyle w:val="TableofFigures"/>
        <w:tabs>
          <w:tab w:val="clear" w:pos="284"/>
          <w:tab w:val="left" w:pos="426"/>
          <w:tab w:val="left" w:pos="953"/>
        </w:tabs>
        <w:ind w:left="426" w:right="1985" w:hanging="426"/>
        <w:rPr>
          <w:rFonts w:asciiTheme="minorHAnsi" w:eastAsiaTheme="minorEastAsia" w:hAnsiTheme="minorHAnsi" w:cstheme="minorBidi"/>
          <w:color w:val="auto"/>
          <w:sz w:val="22"/>
          <w:szCs w:val="22"/>
          <w:lang w:eastAsia="en-AU"/>
        </w:rPr>
      </w:pPr>
      <w:r>
        <w:t>14</w:t>
      </w:r>
      <w:r w:rsidR="00774829">
        <w:tab/>
      </w:r>
      <w:r>
        <w:t>Sample of analysis</w:t>
      </w:r>
      <w:r>
        <w:tab/>
      </w:r>
      <w:r>
        <w:fldChar w:fldCharType="begin"/>
      </w:r>
      <w:r>
        <w:instrText xml:space="preserve"> PAGEREF _Toc19001671 \h </w:instrText>
      </w:r>
      <w:r>
        <w:fldChar w:fldCharType="separate"/>
      </w:r>
      <w:r w:rsidR="00BE614C">
        <w:t>57</w:t>
      </w:r>
      <w:r>
        <w:fldChar w:fldCharType="end"/>
      </w:r>
    </w:p>
    <w:p w14:paraId="695DD003" w14:textId="6FA7ABC1" w:rsidR="004D59CF" w:rsidRDefault="004D59CF" w:rsidP="00C17DE5">
      <w:pPr>
        <w:pStyle w:val="TableofFigures"/>
        <w:tabs>
          <w:tab w:val="clear" w:pos="284"/>
          <w:tab w:val="left" w:pos="426"/>
          <w:tab w:val="left" w:pos="953"/>
          <w:tab w:val="left" w:pos="1140"/>
        </w:tabs>
        <w:ind w:left="426" w:right="1985" w:hanging="426"/>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Student characteristics by gender: proportions and means</w:t>
      </w:r>
      <w:r>
        <w:tab/>
      </w:r>
      <w:r>
        <w:fldChar w:fldCharType="begin"/>
      </w:r>
      <w:r>
        <w:instrText xml:space="preserve"> PAGEREF _Toc19001672 \h </w:instrText>
      </w:r>
      <w:r>
        <w:fldChar w:fldCharType="separate"/>
      </w:r>
      <w:r w:rsidR="00BE614C">
        <w:t>71</w:t>
      </w:r>
      <w:r>
        <w:fldChar w:fldCharType="end"/>
      </w:r>
    </w:p>
    <w:p w14:paraId="4F01FFC5" w14:textId="3AEF77CB" w:rsidR="004D59CF" w:rsidRDefault="004D59CF" w:rsidP="00C17DE5">
      <w:pPr>
        <w:pStyle w:val="TableofFigures"/>
        <w:tabs>
          <w:tab w:val="clear" w:pos="284"/>
          <w:tab w:val="left" w:pos="426"/>
          <w:tab w:val="left" w:pos="953"/>
          <w:tab w:val="left" w:pos="1140"/>
        </w:tabs>
        <w:ind w:left="426" w:right="1985" w:hanging="426"/>
        <w:rPr>
          <w:rFonts w:asciiTheme="minorHAnsi" w:eastAsiaTheme="minorEastAsia" w:hAnsiTheme="minorHAnsi" w:cstheme="minorBidi"/>
          <w:color w:val="auto"/>
          <w:sz w:val="22"/>
          <w:szCs w:val="22"/>
          <w:lang w:eastAsia="en-AU"/>
        </w:rPr>
      </w:pPr>
      <w:r>
        <w:t>16</w:t>
      </w:r>
      <w:r>
        <w:rPr>
          <w:rFonts w:asciiTheme="minorHAnsi" w:eastAsiaTheme="minorEastAsia" w:hAnsiTheme="minorHAnsi" w:cstheme="minorBidi"/>
          <w:color w:val="auto"/>
          <w:sz w:val="22"/>
          <w:szCs w:val="22"/>
          <w:lang w:eastAsia="en-AU"/>
        </w:rPr>
        <w:tab/>
      </w:r>
      <w:r>
        <w:t>Factors affecting enrolment in maths-intensive university degree programs: (1) coefficients from logit models and (2) percentage of the gender gap explained</w:t>
      </w:r>
      <w:r>
        <w:tab/>
      </w:r>
      <w:r>
        <w:fldChar w:fldCharType="begin"/>
      </w:r>
      <w:r>
        <w:instrText xml:space="preserve"> PAGEREF _Toc19001673 \h </w:instrText>
      </w:r>
      <w:r>
        <w:fldChar w:fldCharType="separate"/>
      </w:r>
      <w:r w:rsidR="00BE614C">
        <w:t>72</w:t>
      </w:r>
      <w:r>
        <w:fldChar w:fldCharType="end"/>
      </w:r>
    </w:p>
    <w:p w14:paraId="1ABE0C00" w14:textId="40FE6065" w:rsidR="004D59CF" w:rsidRDefault="004D59CF" w:rsidP="00C17DE5">
      <w:pPr>
        <w:pStyle w:val="TableofFigures"/>
        <w:tabs>
          <w:tab w:val="clear" w:pos="284"/>
          <w:tab w:val="left" w:pos="426"/>
          <w:tab w:val="left" w:pos="953"/>
          <w:tab w:val="left" w:pos="1140"/>
        </w:tabs>
        <w:ind w:left="426" w:right="1985" w:hanging="426"/>
        <w:rPr>
          <w:rFonts w:asciiTheme="minorHAnsi" w:eastAsiaTheme="minorEastAsia" w:hAnsiTheme="minorHAnsi" w:cstheme="minorBidi"/>
          <w:color w:val="auto"/>
          <w:sz w:val="22"/>
          <w:szCs w:val="22"/>
          <w:lang w:eastAsia="en-AU"/>
        </w:rPr>
      </w:pPr>
      <w:r>
        <w:t>17</w:t>
      </w:r>
      <w:r>
        <w:rPr>
          <w:rFonts w:asciiTheme="minorHAnsi" w:eastAsiaTheme="minorEastAsia" w:hAnsiTheme="minorHAnsi" w:cstheme="minorBidi"/>
          <w:color w:val="auto"/>
          <w:sz w:val="22"/>
          <w:szCs w:val="22"/>
          <w:lang w:eastAsia="en-AU"/>
        </w:rPr>
        <w:tab/>
      </w:r>
      <w:r>
        <w:t>Percentage of the gender gap in the choice of a maths- intensive major explained by each factor: the KHB method</w:t>
      </w:r>
      <w:r>
        <w:tab/>
      </w:r>
      <w:r>
        <w:fldChar w:fldCharType="begin"/>
      </w:r>
      <w:r>
        <w:instrText xml:space="preserve"> PAGEREF _Toc19001674 \h </w:instrText>
      </w:r>
      <w:r>
        <w:fldChar w:fldCharType="separate"/>
      </w:r>
      <w:r w:rsidR="00BE614C">
        <w:t>72</w:t>
      </w:r>
      <w:r>
        <w:fldChar w:fldCharType="end"/>
      </w:r>
    </w:p>
    <w:p w14:paraId="07DF10E7" w14:textId="118670FC" w:rsidR="004D59CF" w:rsidRDefault="004D59CF" w:rsidP="00C17DE5">
      <w:pPr>
        <w:pStyle w:val="TableofFigures"/>
        <w:tabs>
          <w:tab w:val="clear" w:pos="284"/>
          <w:tab w:val="left" w:pos="426"/>
          <w:tab w:val="left" w:pos="953"/>
        </w:tabs>
        <w:ind w:left="426" w:right="1985" w:hanging="426"/>
        <w:rPr>
          <w:rFonts w:asciiTheme="minorHAnsi" w:eastAsiaTheme="minorEastAsia" w:hAnsiTheme="minorHAnsi" w:cstheme="minorBidi"/>
          <w:color w:val="auto"/>
          <w:sz w:val="22"/>
          <w:szCs w:val="22"/>
          <w:lang w:eastAsia="en-AU"/>
        </w:rPr>
      </w:pPr>
      <w:r w:rsidRPr="009C3CDD">
        <w:rPr>
          <w:rFonts w:eastAsia="Calibri"/>
        </w:rPr>
        <w:t>18</w:t>
      </w:r>
      <w:r w:rsidR="00774829">
        <w:rPr>
          <w:rFonts w:eastAsia="Calibri"/>
        </w:rPr>
        <w:tab/>
      </w:r>
      <w:r w:rsidRPr="009C3CDD">
        <w:rPr>
          <w:rFonts w:eastAsia="Calibri"/>
        </w:rPr>
        <w:t>Model results: adjusted for covariates</w:t>
      </w:r>
      <w:r>
        <w:tab/>
      </w:r>
      <w:r>
        <w:fldChar w:fldCharType="begin"/>
      </w:r>
      <w:r>
        <w:instrText xml:space="preserve"> PAGEREF _Toc19001675 \h </w:instrText>
      </w:r>
      <w:r>
        <w:fldChar w:fldCharType="separate"/>
      </w:r>
      <w:r w:rsidR="00BE614C">
        <w:t>77</w:t>
      </w:r>
      <w:r>
        <w:fldChar w:fldCharType="end"/>
      </w:r>
    </w:p>
    <w:p w14:paraId="13982A8A" w14:textId="0EE8D03B" w:rsidR="004D59CF" w:rsidRDefault="004D59CF" w:rsidP="00C17DE5">
      <w:pPr>
        <w:pStyle w:val="TableofFigures"/>
        <w:tabs>
          <w:tab w:val="clear" w:pos="284"/>
          <w:tab w:val="left" w:pos="426"/>
          <w:tab w:val="left" w:pos="953"/>
        </w:tabs>
        <w:ind w:left="426" w:right="1985" w:hanging="426"/>
        <w:rPr>
          <w:rFonts w:asciiTheme="minorHAnsi" w:eastAsiaTheme="minorEastAsia" w:hAnsiTheme="minorHAnsi" w:cstheme="minorBidi"/>
          <w:color w:val="auto"/>
          <w:sz w:val="22"/>
          <w:szCs w:val="22"/>
          <w:lang w:eastAsia="en-AU"/>
        </w:rPr>
      </w:pPr>
      <w:r>
        <w:t>19</w:t>
      </w:r>
      <w:r w:rsidR="00774829">
        <w:tab/>
      </w:r>
      <w:r>
        <w:t>Gap-year taking over time by study status (%)</w:t>
      </w:r>
      <w:r>
        <w:tab/>
      </w:r>
      <w:r>
        <w:fldChar w:fldCharType="begin"/>
      </w:r>
      <w:r>
        <w:instrText xml:space="preserve"> PAGEREF _Toc19001676 \h </w:instrText>
      </w:r>
      <w:r>
        <w:fldChar w:fldCharType="separate"/>
      </w:r>
      <w:r w:rsidR="00BE614C">
        <w:t>88</w:t>
      </w:r>
      <w:r>
        <w:fldChar w:fldCharType="end"/>
      </w:r>
    </w:p>
    <w:p w14:paraId="4FA4A196" w14:textId="6DDC8BA8" w:rsidR="004D59CF" w:rsidRDefault="004D59CF" w:rsidP="00C17DE5">
      <w:pPr>
        <w:pStyle w:val="TableofFigures"/>
        <w:tabs>
          <w:tab w:val="clear" w:pos="284"/>
          <w:tab w:val="left" w:pos="426"/>
          <w:tab w:val="left" w:pos="953"/>
        </w:tabs>
        <w:ind w:left="426" w:right="1985" w:hanging="426"/>
        <w:rPr>
          <w:rFonts w:asciiTheme="minorHAnsi" w:eastAsiaTheme="minorEastAsia" w:hAnsiTheme="minorHAnsi" w:cstheme="minorBidi"/>
          <w:color w:val="auto"/>
          <w:sz w:val="22"/>
          <w:szCs w:val="22"/>
          <w:lang w:eastAsia="en-AU"/>
        </w:rPr>
      </w:pPr>
      <w:r>
        <w:t>20</w:t>
      </w:r>
      <w:r w:rsidR="00774829">
        <w:tab/>
      </w:r>
      <w:r>
        <w:t>The main activities of gap-year takers at average age of 18.7 years, 2006</w:t>
      </w:r>
      <w:r w:rsidRPr="009C3CDD">
        <w:rPr>
          <w:rFonts w:ascii="Tahoma" w:hAnsi="Tahoma" w:cs="Tahoma"/>
        </w:rPr>
        <w:t>−</w:t>
      </w:r>
      <w:r>
        <w:t>07 and 2009</w:t>
      </w:r>
      <w:r w:rsidRPr="009C3CDD">
        <w:rPr>
          <w:rFonts w:ascii="Tahoma" w:hAnsi="Tahoma" w:cs="Tahoma"/>
        </w:rPr>
        <w:t>−</w:t>
      </w:r>
      <w:r>
        <w:t>10</w:t>
      </w:r>
      <w:r>
        <w:tab/>
      </w:r>
      <w:r>
        <w:fldChar w:fldCharType="begin"/>
      </w:r>
      <w:r>
        <w:instrText xml:space="preserve"> PAGEREF _Toc19001677 \h </w:instrText>
      </w:r>
      <w:r>
        <w:fldChar w:fldCharType="separate"/>
      </w:r>
      <w:r w:rsidR="00BE614C">
        <w:t>89</w:t>
      </w:r>
      <w:r>
        <w:fldChar w:fldCharType="end"/>
      </w:r>
    </w:p>
    <w:p w14:paraId="79D7CCD5" w14:textId="67CFC091" w:rsidR="004D59CF" w:rsidRDefault="004D59CF" w:rsidP="00C17DE5">
      <w:pPr>
        <w:pStyle w:val="TableofFigures"/>
        <w:tabs>
          <w:tab w:val="clear" w:pos="284"/>
          <w:tab w:val="left" w:pos="426"/>
          <w:tab w:val="left" w:pos="953"/>
          <w:tab w:val="left" w:pos="1140"/>
        </w:tabs>
        <w:ind w:left="426" w:right="1985" w:hanging="426"/>
        <w:rPr>
          <w:rFonts w:asciiTheme="minorHAnsi" w:eastAsiaTheme="minorEastAsia" w:hAnsiTheme="minorHAnsi" w:cstheme="minorBidi"/>
          <w:color w:val="auto"/>
          <w:sz w:val="22"/>
          <w:szCs w:val="22"/>
          <w:lang w:eastAsia="en-AU"/>
        </w:rPr>
      </w:pPr>
      <w:r>
        <w:t>21</w:t>
      </w:r>
      <w:r>
        <w:rPr>
          <w:rFonts w:asciiTheme="minorHAnsi" w:eastAsiaTheme="minorEastAsia" w:hAnsiTheme="minorHAnsi" w:cstheme="minorBidi"/>
          <w:color w:val="auto"/>
          <w:sz w:val="22"/>
          <w:szCs w:val="22"/>
          <w:lang w:eastAsia="en-AU"/>
        </w:rPr>
        <w:tab/>
      </w:r>
      <w:r>
        <w:t>Percentage of respondents working in each school year level, Y03, 2003–07</w:t>
      </w:r>
      <w:r>
        <w:tab/>
      </w:r>
      <w:r>
        <w:fldChar w:fldCharType="begin"/>
      </w:r>
      <w:r>
        <w:instrText xml:space="preserve"> PAGEREF _Toc19001678 \h </w:instrText>
      </w:r>
      <w:r>
        <w:fldChar w:fldCharType="separate"/>
      </w:r>
      <w:r w:rsidR="00BE614C">
        <w:t>95</w:t>
      </w:r>
      <w:r>
        <w:fldChar w:fldCharType="end"/>
      </w:r>
    </w:p>
    <w:p w14:paraId="66DA034F" w14:textId="3CBF6F87" w:rsidR="004D59CF" w:rsidRDefault="004D59CF" w:rsidP="00C17DE5">
      <w:pPr>
        <w:pStyle w:val="TableofFigures"/>
        <w:tabs>
          <w:tab w:val="clear" w:pos="284"/>
          <w:tab w:val="left" w:pos="426"/>
          <w:tab w:val="left" w:pos="953"/>
          <w:tab w:val="left" w:pos="1140"/>
        </w:tabs>
        <w:ind w:left="426" w:right="1985" w:hanging="426"/>
        <w:rPr>
          <w:rFonts w:asciiTheme="minorHAnsi" w:eastAsiaTheme="minorEastAsia" w:hAnsiTheme="minorHAnsi" w:cstheme="minorBidi"/>
          <w:color w:val="auto"/>
          <w:sz w:val="22"/>
          <w:szCs w:val="22"/>
          <w:lang w:eastAsia="en-AU"/>
        </w:rPr>
      </w:pPr>
      <w:r>
        <w:t>22</w:t>
      </w:r>
      <w:r>
        <w:rPr>
          <w:rFonts w:asciiTheme="minorHAnsi" w:eastAsiaTheme="minorEastAsia" w:hAnsiTheme="minorHAnsi" w:cstheme="minorBidi"/>
          <w:color w:val="auto"/>
          <w:sz w:val="22"/>
          <w:szCs w:val="22"/>
          <w:lang w:eastAsia="en-AU"/>
        </w:rPr>
        <w:tab/>
      </w:r>
      <w:r>
        <w:t>Summary statistics of working and working hours by year level, Y03 cohort</w:t>
      </w:r>
      <w:r>
        <w:tab/>
      </w:r>
      <w:r>
        <w:fldChar w:fldCharType="begin"/>
      </w:r>
      <w:r>
        <w:instrText xml:space="preserve"> PAGEREF _Toc19001679 \h </w:instrText>
      </w:r>
      <w:r>
        <w:fldChar w:fldCharType="separate"/>
      </w:r>
      <w:r w:rsidR="00BE614C">
        <w:t>95</w:t>
      </w:r>
      <w:r>
        <w:fldChar w:fldCharType="end"/>
      </w:r>
    </w:p>
    <w:p w14:paraId="54BDD852" w14:textId="39072848" w:rsidR="004D59CF" w:rsidRDefault="004D59CF" w:rsidP="00C17DE5">
      <w:pPr>
        <w:pStyle w:val="TableofFigures"/>
        <w:tabs>
          <w:tab w:val="clear" w:pos="284"/>
          <w:tab w:val="left" w:pos="567"/>
          <w:tab w:val="left" w:pos="1140"/>
        </w:tabs>
        <w:ind w:left="426" w:right="1985" w:hanging="426"/>
        <w:rPr>
          <w:rFonts w:asciiTheme="minorHAnsi" w:eastAsiaTheme="minorEastAsia" w:hAnsiTheme="minorHAnsi" w:cstheme="minorBidi"/>
          <w:color w:val="auto"/>
          <w:sz w:val="22"/>
          <w:szCs w:val="22"/>
          <w:lang w:eastAsia="en-AU"/>
        </w:rPr>
      </w:pPr>
      <w:r>
        <w:t>23</w:t>
      </w:r>
      <w:r w:rsidR="00774829">
        <w:rPr>
          <w:rFonts w:asciiTheme="minorHAnsi" w:eastAsiaTheme="minorEastAsia" w:hAnsiTheme="minorHAnsi" w:cstheme="minorBidi"/>
          <w:color w:val="auto"/>
          <w:sz w:val="22"/>
          <w:szCs w:val="22"/>
          <w:lang w:eastAsia="en-AU"/>
        </w:rPr>
        <w:tab/>
      </w:r>
      <w:r>
        <w:t>Average hours worked in Year 12 by student characteristics, by gender</w:t>
      </w:r>
      <w:r>
        <w:tab/>
      </w:r>
      <w:r w:rsidR="00C17DE5">
        <w:tab/>
      </w:r>
      <w:r>
        <w:fldChar w:fldCharType="begin"/>
      </w:r>
      <w:r>
        <w:instrText xml:space="preserve"> PAGEREF _Toc19001680 \h </w:instrText>
      </w:r>
      <w:r>
        <w:fldChar w:fldCharType="separate"/>
      </w:r>
      <w:r w:rsidR="00BE614C">
        <w:t>96</w:t>
      </w:r>
      <w:r>
        <w:fldChar w:fldCharType="end"/>
      </w:r>
    </w:p>
    <w:p w14:paraId="1220ADD7" w14:textId="59FCA002" w:rsidR="004D59CF" w:rsidRDefault="004D59CF" w:rsidP="00424132">
      <w:pPr>
        <w:pStyle w:val="TableofFigures"/>
        <w:tabs>
          <w:tab w:val="clear" w:pos="284"/>
          <w:tab w:val="left" w:pos="426"/>
          <w:tab w:val="left" w:pos="1140"/>
        </w:tabs>
        <w:ind w:left="426" w:right="1985" w:hanging="426"/>
        <w:rPr>
          <w:rFonts w:asciiTheme="minorHAnsi" w:eastAsiaTheme="minorEastAsia" w:hAnsiTheme="minorHAnsi" w:cstheme="minorBidi"/>
          <w:color w:val="auto"/>
          <w:sz w:val="22"/>
          <w:szCs w:val="22"/>
          <w:lang w:eastAsia="en-AU"/>
        </w:rPr>
      </w:pPr>
      <w:r>
        <w:lastRenderedPageBreak/>
        <w:t>24</w:t>
      </w:r>
      <w:r>
        <w:rPr>
          <w:rFonts w:asciiTheme="minorHAnsi" w:eastAsiaTheme="minorEastAsia" w:hAnsiTheme="minorHAnsi" w:cstheme="minorBidi"/>
          <w:color w:val="auto"/>
          <w:sz w:val="22"/>
          <w:szCs w:val="22"/>
          <w:lang w:eastAsia="en-AU"/>
        </w:rPr>
        <w:tab/>
      </w:r>
      <w:r>
        <w:t>Predicted probability of Year 10 to Year 11 retention by hours worked in Year 10</w:t>
      </w:r>
      <w:r>
        <w:tab/>
      </w:r>
      <w:r>
        <w:fldChar w:fldCharType="begin"/>
      </w:r>
      <w:r>
        <w:instrText xml:space="preserve"> PAGEREF _Toc19001681 \h </w:instrText>
      </w:r>
      <w:r>
        <w:fldChar w:fldCharType="separate"/>
      </w:r>
      <w:r w:rsidR="00BE614C">
        <w:t>97</w:t>
      </w:r>
      <w:r>
        <w:fldChar w:fldCharType="end"/>
      </w:r>
    </w:p>
    <w:p w14:paraId="0AB9C1BD" w14:textId="6EEF78DA" w:rsidR="004D59CF" w:rsidRDefault="004D59CF" w:rsidP="00424132">
      <w:pPr>
        <w:pStyle w:val="TableofFigures"/>
        <w:tabs>
          <w:tab w:val="clear" w:pos="284"/>
          <w:tab w:val="left" w:pos="426"/>
          <w:tab w:val="left" w:pos="1140"/>
        </w:tabs>
        <w:ind w:left="426" w:right="1985" w:hanging="426"/>
        <w:rPr>
          <w:rFonts w:asciiTheme="minorHAnsi" w:eastAsiaTheme="minorEastAsia" w:hAnsiTheme="minorHAnsi" w:cstheme="minorBidi"/>
          <w:color w:val="auto"/>
          <w:sz w:val="22"/>
          <w:szCs w:val="22"/>
          <w:lang w:eastAsia="en-AU"/>
        </w:rPr>
      </w:pPr>
      <w:r>
        <w:t>25</w:t>
      </w:r>
      <w:r w:rsidR="00774829">
        <w:rPr>
          <w:rFonts w:asciiTheme="minorHAnsi" w:eastAsiaTheme="minorEastAsia" w:hAnsiTheme="minorHAnsi" w:cstheme="minorBidi"/>
          <w:color w:val="auto"/>
          <w:sz w:val="22"/>
          <w:szCs w:val="22"/>
          <w:lang w:eastAsia="en-AU"/>
        </w:rPr>
        <w:tab/>
      </w:r>
      <w:r>
        <w:t>Predicted probability of Year 11 to Year 12 retention by hours worked in Year 11</w:t>
      </w:r>
      <w:r>
        <w:tab/>
      </w:r>
      <w:r>
        <w:fldChar w:fldCharType="begin"/>
      </w:r>
      <w:r>
        <w:instrText xml:space="preserve"> PAGEREF _Toc19001682 \h </w:instrText>
      </w:r>
      <w:r>
        <w:fldChar w:fldCharType="separate"/>
      </w:r>
      <w:r w:rsidR="00BE614C">
        <w:t>97</w:t>
      </w:r>
      <w:r>
        <w:fldChar w:fldCharType="end"/>
      </w:r>
    </w:p>
    <w:p w14:paraId="134A1EB8" w14:textId="2AE708F3" w:rsidR="004D59CF" w:rsidRDefault="004D59CF" w:rsidP="00424132">
      <w:pPr>
        <w:pStyle w:val="TableofFigures"/>
        <w:tabs>
          <w:tab w:val="clear" w:pos="284"/>
          <w:tab w:val="left" w:pos="426"/>
          <w:tab w:val="left" w:pos="1140"/>
        </w:tabs>
        <w:ind w:left="426" w:right="1985" w:hanging="426"/>
        <w:rPr>
          <w:rFonts w:asciiTheme="minorHAnsi" w:eastAsiaTheme="minorEastAsia" w:hAnsiTheme="minorHAnsi" w:cstheme="minorBidi"/>
          <w:color w:val="auto"/>
          <w:sz w:val="22"/>
          <w:szCs w:val="22"/>
          <w:lang w:eastAsia="en-AU"/>
        </w:rPr>
      </w:pPr>
      <w:r>
        <w:t>26</w:t>
      </w:r>
      <w:r w:rsidR="00774829">
        <w:rPr>
          <w:rFonts w:asciiTheme="minorHAnsi" w:eastAsiaTheme="minorEastAsia" w:hAnsiTheme="minorHAnsi" w:cstheme="minorBidi"/>
          <w:color w:val="auto"/>
          <w:sz w:val="22"/>
          <w:szCs w:val="22"/>
          <w:lang w:eastAsia="en-AU"/>
        </w:rPr>
        <w:tab/>
      </w:r>
      <w:r>
        <w:t>Mean TER scores by hours worked in Year 12, males</w:t>
      </w:r>
      <w:r>
        <w:tab/>
      </w:r>
      <w:r>
        <w:fldChar w:fldCharType="begin"/>
      </w:r>
      <w:r>
        <w:instrText xml:space="preserve"> PAGEREF _Toc19001683 \h </w:instrText>
      </w:r>
      <w:r>
        <w:fldChar w:fldCharType="separate"/>
      </w:r>
      <w:r w:rsidR="00BE614C">
        <w:t>98</w:t>
      </w:r>
      <w:r>
        <w:fldChar w:fldCharType="end"/>
      </w:r>
    </w:p>
    <w:p w14:paraId="1D892F05" w14:textId="038D55E3" w:rsidR="004D59CF" w:rsidRDefault="004D59CF" w:rsidP="00424132">
      <w:pPr>
        <w:pStyle w:val="TableofFigures"/>
        <w:tabs>
          <w:tab w:val="clear" w:pos="284"/>
          <w:tab w:val="left" w:pos="426"/>
          <w:tab w:val="left" w:pos="1140"/>
        </w:tabs>
        <w:ind w:left="426" w:right="1985" w:hanging="426"/>
        <w:rPr>
          <w:rFonts w:asciiTheme="minorHAnsi" w:eastAsiaTheme="minorEastAsia" w:hAnsiTheme="minorHAnsi" w:cstheme="minorBidi"/>
          <w:color w:val="auto"/>
          <w:sz w:val="22"/>
          <w:szCs w:val="22"/>
          <w:lang w:eastAsia="en-AU"/>
        </w:rPr>
      </w:pPr>
      <w:r>
        <w:t>27</w:t>
      </w:r>
      <w:r w:rsidR="00774829">
        <w:rPr>
          <w:rFonts w:asciiTheme="minorHAnsi" w:eastAsiaTheme="minorEastAsia" w:hAnsiTheme="minorHAnsi" w:cstheme="minorBidi"/>
          <w:color w:val="auto"/>
          <w:sz w:val="22"/>
          <w:szCs w:val="22"/>
          <w:lang w:eastAsia="en-AU"/>
        </w:rPr>
        <w:tab/>
      </w:r>
      <w:r>
        <w:t>Mean TER scores by hours worked in Year 12, females</w:t>
      </w:r>
      <w:r>
        <w:tab/>
      </w:r>
      <w:r>
        <w:fldChar w:fldCharType="begin"/>
      </w:r>
      <w:r>
        <w:instrText xml:space="preserve"> PAGEREF _Toc19001684 \h </w:instrText>
      </w:r>
      <w:r>
        <w:fldChar w:fldCharType="separate"/>
      </w:r>
      <w:r w:rsidR="00BE614C">
        <w:t>98</w:t>
      </w:r>
      <w:r>
        <w:fldChar w:fldCharType="end"/>
      </w:r>
    </w:p>
    <w:p w14:paraId="32DD92CE" w14:textId="7579B953" w:rsidR="004D59CF" w:rsidRDefault="004D59CF"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t>28</w:t>
      </w:r>
      <w:r w:rsidR="00774829">
        <w:tab/>
      </w:r>
      <w:r>
        <w:t>Significant predictors of persistently NEET periods between ages 20 and 24</w:t>
      </w:r>
      <w:r>
        <w:tab/>
      </w:r>
      <w:r>
        <w:fldChar w:fldCharType="begin"/>
      </w:r>
      <w:r>
        <w:instrText xml:space="preserve"> PAGEREF _Toc19001685 \h </w:instrText>
      </w:r>
      <w:r>
        <w:fldChar w:fldCharType="separate"/>
      </w:r>
      <w:r w:rsidR="00BE614C">
        <w:t>107</w:t>
      </w:r>
      <w:r>
        <w:fldChar w:fldCharType="end"/>
      </w:r>
    </w:p>
    <w:p w14:paraId="7955C751" w14:textId="5B47A3FE" w:rsidR="004D59CF" w:rsidRDefault="004D59CF"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t xml:space="preserve">29 </w:t>
      </w:r>
      <w:r w:rsidR="00774829">
        <w:tab/>
      </w:r>
      <w:r>
        <w:t>Average marginal effects on pathway outcomes. Change in the probability of following a certain pathway for a given characteristic compared with the reference category</w:t>
      </w:r>
      <w:r>
        <w:tab/>
      </w:r>
      <w:r>
        <w:fldChar w:fldCharType="begin"/>
      </w:r>
      <w:r>
        <w:instrText xml:space="preserve"> PAGEREF _Toc19001686 \h </w:instrText>
      </w:r>
      <w:r>
        <w:fldChar w:fldCharType="separate"/>
      </w:r>
      <w:r w:rsidR="00BE614C">
        <w:t>119</w:t>
      </w:r>
      <w:r>
        <w:fldChar w:fldCharType="end"/>
      </w:r>
    </w:p>
    <w:p w14:paraId="3E8426AF" w14:textId="39FBB1B5" w:rsidR="00382243" w:rsidRDefault="00ED0C08" w:rsidP="00424132">
      <w:pPr>
        <w:pStyle w:val="Text"/>
        <w:spacing w:before="0"/>
        <w:ind w:right="-709"/>
      </w:pPr>
      <w:r>
        <w:fldChar w:fldCharType="end"/>
      </w:r>
      <w:bookmarkStart w:id="35" w:name="_Toc296497517"/>
      <w:bookmarkStart w:id="36" w:name="_Toc298162802"/>
      <w:bookmarkStart w:id="37" w:name="_Toc316371581"/>
    </w:p>
    <w:p w14:paraId="3CCF61DA" w14:textId="671A1F18" w:rsidR="00382243" w:rsidRDefault="00382243" w:rsidP="00B1704F">
      <w:pPr>
        <w:pStyle w:val="Heading2"/>
      </w:pPr>
      <w:bookmarkStart w:id="38" w:name="_Toc19803889"/>
      <w:r>
        <w:t>Figures</w:t>
      </w:r>
      <w:bookmarkEnd w:id="38"/>
    </w:p>
    <w:bookmarkEnd w:id="35"/>
    <w:bookmarkEnd w:id="36"/>
    <w:bookmarkEnd w:id="37"/>
    <w:p w14:paraId="2C65194B" w14:textId="13B15E50" w:rsidR="004D59CF" w:rsidRDefault="00ED0C08"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rPr>
          <w:rFonts w:ascii="Garamond" w:hAnsi="Garamond"/>
          <w:sz w:val="22"/>
        </w:rPr>
        <w:fldChar w:fldCharType="begin"/>
      </w:r>
      <w:r>
        <w:instrText xml:space="preserve"> TOC \t "Figuretitle" \c </w:instrText>
      </w:r>
      <w:r>
        <w:rPr>
          <w:rFonts w:ascii="Garamond" w:hAnsi="Garamond"/>
          <w:sz w:val="22"/>
        </w:rPr>
        <w:fldChar w:fldCharType="separate"/>
      </w:r>
      <w:r w:rsidR="004D59CF">
        <w:t>1</w:t>
      </w:r>
      <w:r w:rsidR="00774829">
        <w:tab/>
      </w:r>
      <w:r w:rsidR="004D59CF">
        <w:t>Percentage of 15 to 19-year-olds and 20 to 24-year-olds in full-time education (1986</w:t>
      </w:r>
      <w:r w:rsidR="004D59CF" w:rsidRPr="00D701D7">
        <w:rPr>
          <w:rFonts w:cs="Arial"/>
        </w:rPr>
        <w:t>−</w:t>
      </w:r>
      <w:r w:rsidR="004D59CF">
        <w:t>2018)</w:t>
      </w:r>
      <w:r w:rsidR="004D59CF">
        <w:tab/>
      </w:r>
      <w:r w:rsidR="004D59CF">
        <w:fldChar w:fldCharType="begin"/>
      </w:r>
      <w:r w:rsidR="004D59CF">
        <w:instrText xml:space="preserve"> PAGEREF _Toc19001687 \h </w:instrText>
      </w:r>
      <w:r w:rsidR="004D59CF">
        <w:fldChar w:fldCharType="separate"/>
      </w:r>
      <w:r w:rsidR="00BE614C">
        <w:t>19</w:t>
      </w:r>
      <w:r w:rsidR="004D59CF">
        <w:fldChar w:fldCharType="end"/>
      </w:r>
    </w:p>
    <w:p w14:paraId="3D8821F8" w14:textId="29C81374" w:rsidR="004D59CF" w:rsidRDefault="004D59CF"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rsidRPr="00D701D7">
        <w:rPr>
          <w:rFonts w:eastAsia="Malgun Gothic"/>
          <w:lang w:eastAsia="ko-KR"/>
        </w:rPr>
        <w:t>2</w:t>
      </w:r>
      <w:r w:rsidR="00774829">
        <w:rPr>
          <w:rFonts w:eastAsia="Malgun Gothic"/>
          <w:lang w:eastAsia="ko-KR"/>
        </w:rPr>
        <w:tab/>
      </w:r>
      <w:r w:rsidRPr="00D701D7">
        <w:rPr>
          <w:rFonts w:eastAsia="Malgun Gothic"/>
          <w:lang w:eastAsia="ko-KR"/>
        </w:rPr>
        <w:t>Estimated growth of gross weekly pay by education</w:t>
      </w:r>
      <w:r>
        <w:tab/>
      </w:r>
      <w:r>
        <w:fldChar w:fldCharType="begin"/>
      </w:r>
      <w:r>
        <w:instrText xml:space="preserve"> PAGEREF _Toc19001688 \h </w:instrText>
      </w:r>
      <w:r>
        <w:fldChar w:fldCharType="separate"/>
      </w:r>
      <w:r w:rsidR="00BE614C">
        <w:t>35</w:t>
      </w:r>
      <w:r>
        <w:fldChar w:fldCharType="end"/>
      </w:r>
    </w:p>
    <w:p w14:paraId="2A8C0B20" w14:textId="1E8BACC8" w:rsidR="004D59CF" w:rsidRDefault="004D59CF"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t>3</w:t>
      </w:r>
      <w:r w:rsidR="00774829">
        <w:tab/>
      </w:r>
      <w:r>
        <w:t>Estimated growth of occupational prestige by education</w:t>
      </w:r>
      <w:r>
        <w:tab/>
      </w:r>
      <w:r>
        <w:fldChar w:fldCharType="begin"/>
      </w:r>
      <w:r>
        <w:instrText xml:space="preserve"> PAGEREF _Toc19001689 \h </w:instrText>
      </w:r>
      <w:r>
        <w:fldChar w:fldCharType="separate"/>
      </w:r>
      <w:r w:rsidR="00BE614C">
        <w:t>36</w:t>
      </w:r>
      <w:r>
        <w:fldChar w:fldCharType="end"/>
      </w:r>
    </w:p>
    <w:p w14:paraId="599390E8" w14:textId="405288E6" w:rsidR="004D59CF" w:rsidRDefault="004D59CF"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t>4</w:t>
      </w:r>
      <w:r w:rsidR="00774829">
        <w:tab/>
      </w:r>
      <w:r>
        <w:t>Probabilities of attaining a bachelor’s or higher degree by parental degree and parental occupational prestige</w:t>
      </w:r>
      <w:r>
        <w:tab/>
      </w:r>
      <w:r>
        <w:fldChar w:fldCharType="begin"/>
      </w:r>
      <w:r>
        <w:instrText xml:space="preserve"> PAGEREF _Toc19001690 \h </w:instrText>
      </w:r>
      <w:r>
        <w:fldChar w:fldCharType="separate"/>
      </w:r>
      <w:r w:rsidR="00BE614C">
        <w:t>37</w:t>
      </w:r>
      <w:r>
        <w:fldChar w:fldCharType="end"/>
      </w:r>
    </w:p>
    <w:p w14:paraId="0D2AFCA9" w14:textId="678A34BE" w:rsidR="004D59CF" w:rsidRDefault="004D59CF"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t>5</w:t>
      </w:r>
      <w:r w:rsidR="00774829">
        <w:tab/>
      </w:r>
      <w:r>
        <w:t>Association between student SES and school SES</w:t>
      </w:r>
      <w:r>
        <w:tab/>
      </w:r>
      <w:r>
        <w:fldChar w:fldCharType="begin"/>
      </w:r>
      <w:r>
        <w:instrText xml:space="preserve"> PAGEREF _Toc19001691 \h </w:instrText>
      </w:r>
      <w:r>
        <w:fldChar w:fldCharType="separate"/>
      </w:r>
      <w:r w:rsidR="00BE614C">
        <w:t>41</w:t>
      </w:r>
      <w:r>
        <w:fldChar w:fldCharType="end"/>
      </w:r>
    </w:p>
    <w:p w14:paraId="452B93D8" w14:textId="3DCD30BB" w:rsidR="004D59CF" w:rsidRDefault="004D59CF"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t>6</w:t>
      </w:r>
      <w:r w:rsidR="00774829">
        <w:tab/>
      </w:r>
      <w:r>
        <w:t>Education outcomes of VET in Schools programs in the first year out from school compared with outcomes of ‘matched’ comparison groups</w:t>
      </w:r>
      <w:r>
        <w:tab/>
      </w:r>
      <w:r>
        <w:fldChar w:fldCharType="begin"/>
      </w:r>
      <w:r>
        <w:instrText xml:space="preserve"> PAGEREF _Toc19001692 \h </w:instrText>
      </w:r>
      <w:r>
        <w:fldChar w:fldCharType="separate"/>
      </w:r>
      <w:r w:rsidR="00BE614C">
        <w:t>59</w:t>
      </w:r>
      <w:r>
        <w:fldChar w:fldCharType="end"/>
      </w:r>
    </w:p>
    <w:p w14:paraId="33D3A501" w14:textId="5AFEC3BE" w:rsidR="004D59CF" w:rsidRDefault="004D59CF"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t>7</w:t>
      </w:r>
      <w:r w:rsidR="00774829">
        <w:tab/>
      </w:r>
      <w:r>
        <w:t>Labour market outcomes of VET in Schools programs in the first year out from school compared to outcomes of ‘matched’ comparison groups</w:t>
      </w:r>
      <w:r>
        <w:tab/>
      </w:r>
      <w:r>
        <w:fldChar w:fldCharType="begin"/>
      </w:r>
      <w:r>
        <w:instrText xml:space="preserve"> PAGEREF _Toc19001693 \h </w:instrText>
      </w:r>
      <w:r>
        <w:fldChar w:fldCharType="separate"/>
      </w:r>
      <w:r w:rsidR="00BE614C">
        <w:t>60</w:t>
      </w:r>
      <w:r>
        <w:fldChar w:fldCharType="end"/>
      </w:r>
    </w:p>
    <w:p w14:paraId="596DE18B" w14:textId="1FB41C76" w:rsidR="004D59CF" w:rsidRDefault="004D59CF"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rsidRPr="00D701D7">
        <w:rPr>
          <w:rFonts w:eastAsia="Calibri"/>
          <w:lang w:val="en-GB"/>
        </w:rPr>
        <w:t>8</w:t>
      </w:r>
      <w:r w:rsidR="00774829">
        <w:rPr>
          <w:rFonts w:eastAsia="Calibri"/>
          <w:lang w:val="en-GB"/>
        </w:rPr>
        <w:tab/>
      </w:r>
      <w:r w:rsidRPr="00D701D7">
        <w:rPr>
          <w:rFonts w:eastAsia="Calibri"/>
          <w:lang w:val="en-GB"/>
        </w:rPr>
        <w:t>Job outcomes of VET in Schools programs in the first year out from school compared with outcomes of ‘matched’ comparison groups for those full-time employed</w:t>
      </w:r>
      <w:r>
        <w:tab/>
      </w:r>
      <w:r>
        <w:fldChar w:fldCharType="begin"/>
      </w:r>
      <w:r>
        <w:instrText xml:space="preserve"> PAGEREF _Toc19001694 \h </w:instrText>
      </w:r>
      <w:r>
        <w:fldChar w:fldCharType="separate"/>
      </w:r>
      <w:r w:rsidR="00BE614C">
        <w:t>61</w:t>
      </w:r>
      <w:r>
        <w:fldChar w:fldCharType="end"/>
      </w:r>
    </w:p>
    <w:p w14:paraId="67726497" w14:textId="3A078928" w:rsidR="004D59CF" w:rsidRDefault="004D59CF"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t>9</w:t>
      </w:r>
      <w:r w:rsidR="00774829">
        <w:tab/>
      </w:r>
      <w:r>
        <w:t>University enrolment rates by socioeconomic background</w:t>
      </w:r>
      <w:r>
        <w:tab/>
      </w:r>
      <w:r>
        <w:fldChar w:fldCharType="begin"/>
      </w:r>
      <w:r>
        <w:instrText xml:space="preserve"> PAGEREF _Toc19001695 \h </w:instrText>
      </w:r>
      <w:r>
        <w:fldChar w:fldCharType="separate"/>
      </w:r>
      <w:r w:rsidR="00BE614C">
        <w:t>66</w:t>
      </w:r>
      <w:r>
        <w:fldChar w:fldCharType="end"/>
      </w:r>
    </w:p>
    <w:p w14:paraId="2A89DF8E" w14:textId="13D3DA08" w:rsidR="004D59CF" w:rsidRDefault="004D59CF"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t>10</w:t>
      </w:r>
      <w:r w:rsidR="00774829">
        <w:tab/>
      </w:r>
      <w:r>
        <w:t>University enrolment rates by school factors</w:t>
      </w:r>
      <w:r>
        <w:tab/>
      </w:r>
      <w:r>
        <w:fldChar w:fldCharType="begin"/>
      </w:r>
      <w:r>
        <w:instrText xml:space="preserve"> PAGEREF _Toc19001696 \h </w:instrText>
      </w:r>
      <w:r>
        <w:fldChar w:fldCharType="separate"/>
      </w:r>
      <w:r w:rsidR="00BE614C">
        <w:t>67</w:t>
      </w:r>
      <w:r>
        <w:fldChar w:fldCharType="end"/>
      </w:r>
    </w:p>
    <w:p w14:paraId="0652173E" w14:textId="2099A1FF" w:rsidR="004D59CF" w:rsidRDefault="004D59CF" w:rsidP="00424132">
      <w:pPr>
        <w:pStyle w:val="TableofFigures"/>
        <w:tabs>
          <w:tab w:val="clear" w:pos="284"/>
          <w:tab w:val="left" w:pos="426"/>
          <w:tab w:val="left" w:pos="1140"/>
        </w:tabs>
        <w:ind w:left="426" w:right="1985" w:hanging="426"/>
        <w:rPr>
          <w:rFonts w:asciiTheme="minorHAnsi" w:eastAsiaTheme="minorEastAsia" w:hAnsiTheme="minorHAnsi" w:cstheme="minorBidi"/>
          <w:color w:val="auto"/>
          <w:sz w:val="22"/>
          <w:szCs w:val="22"/>
          <w:lang w:eastAsia="en-AU"/>
        </w:rPr>
      </w:pPr>
      <w:r>
        <w:t>11</w:t>
      </w:r>
      <w:r w:rsidR="00774829">
        <w:rPr>
          <w:rFonts w:asciiTheme="minorHAnsi" w:eastAsiaTheme="minorEastAsia" w:hAnsiTheme="minorHAnsi" w:cstheme="minorBidi"/>
          <w:color w:val="auto"/>
          <w:sz w:val="22"/>
          <w:szCs w:val="22"/>
          <w:lang w:eastAsia="en-AU"/>
        </w:rPr>
        <w:tab/>
      </w:r>
      <w:r>
        <w:t>Key factors that may influence a student’s chance of choosing a maths-intensive university major</w:t>
      </w:r>
      <w:r>
        <w:tab/>
      </w:r>
      <w:r>
        <w:fldChar w:fldCharType="begin"/>
      </w:r>
      <w:r>
        <w:instrText xml:space="preserve"> PAGEREF _Toc19001697 \h </w:instrText>
      </w:r>
      <w:r>
        <w:fldChar w:fldCharType="separate"/>
      </w:r>
      <w:r w:rsidR="00BE614C">
        <w:t>70</w:t>
      </w:r>
      <w:r>
        <w:fldChar w:fldCharType="end"/>
      </w:r>
    </w:p>
    <w:p w14:paraId="16525209" w14:textId="3288AA03" w:rsidR="004D59CF" w:rsidRDefault="004D59CF"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t>12</w:t>
      </w:r>
      <w:r w:rsidR="00774829">
        <w:tab/>
      </w:r>
      <w:r>
        <w:t>Simplified hypothesised model</w:t>
      </w:r>
      <w:r>
        <w:tab/>
      </w:r>
      <w:r>
        <w:fldChar w:fldCharType="begin"/>
      </w:r>
      <w:r>
        <w:instrText xml:space="preserve"> PAGEREF _Toc19001698 \h </w:instrText>
      </w:r>
      <w:r>
        <w:fldChar w:fldCharType="separate"/>
      </w:r>
      <w:r w:rsidR="00BE614C">
        <w:t>76</w:t>
      </w:r>
      <w:r>
        <w:fldChar w:fldCharType="end"/>
      </w:r>
    </w:p>
    <w:p w14:paraId="6F21D2B2" w14:textId="51BD8AE4" w:rsidR="004D59CF" w:rsidRDefault="004D59CF"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t>13</w:t>
      </w:r>
      <w:r w:rsidR="00774829">
        <w:tab/>
      </w:r>
      <w:r>
        <w:t>Occupational plans LSAY Y09</w:t>
      </w:r>
      <w:r>
        <w:tab/>
      </w:r>
      <w:r>
        <w:fldChar w:fldCharType="begin"/>
      </w:r>
      <w:r>
        <w:instrText xml:space="preserve"> PAGEREF _Toc19001699 \h </w:instrText>
      </w:r>
      <w:r>
        <w:fldChar w:fldCharType="separate"/>
      </w:r>
      <w:r w:rsidR="00BE614C">
        <w:t>81</w:t>
      </w:r>
      <w:r>
        <w:fldChar w:fldCharType="end"/>
      </w:r>
    </w:p>
    <w:p w14:paraId="4397D5BE" w14:textId="085E019B" w:rsidR="004D59CF" w:rsidRDefault="004D59CF"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t>14</w:t>
      </w:r>
      <w:r w:rsidR="00774829">
        <w:tab/>
      </w:r>
      <w:r>
        <w:t>Prevalence of talent loss in LSAY Y98</w:t>
      </w:r>
      <w:r>
        <w:tab/>
      </w:r>
      <w:r>
        <w:fldChar w:fldCharType="begin"/>
      </w:r>
      <w:r>
        <w:instrText xml:space="preserve"> PAGEREF _Toc19001700 \h </w:instrText>
      </w:r>
      <w:r>
        <w:fldChar w:fldCharType="separate"/>
      </w:r>
      <w:r w:rsidR="00BE614C">
        <w:t>82</w:t>
      </w:r>
      <w:r>
        <w:fldChar w:fldCharType="end"/>
      </w:r>
    </w:p>
    <w:p w14:paraId="32EFBA75" w14:textId="06C6321B" w:rsidR="004D59CF" w:rsidRDefault="004D59CF"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t>15</w:t>
      </w:r>
      <w:r w:rsidR="00774829">
        <w:tab/>
      </w:r>
      <w:r>
        <w:t>Occupational uncertainty LSAY Y06</w:t>
      </w:r>
      <w:r>
        <w:tab/>
      </w:r>
      <w:r>
        <w:fldChar w:fldCharType="begin"/>
      </w:r>
      <w:r>
        <w:instrText xml:space="preserve"> PAGEREF _Toc19001702 \h </w:instrText>
      </w:r>
      <w:r>
        <w:fldChar w:fldCharType="separate"/>
      </w:r>
      <w:r w:rsidR="00BE614C">
        <w:t>83</w:t>
      </w:r>
      <w:r>
        <w:fldChar w:fldCharType="end"/>
      </w:r>
    </w:p>
    <w:p w14:paraId="31D0EB94" w14:textId="5E95AC9F" w:rsidR="004D59CF" w:rsidRDefault="004D59CF"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t>16</w:t>
      </w:r>
      <w:r w:rsidR="00774829">
        <w:tab/>
      </w:r>
      <w:r>
        <w:t>Gender gap in science-related career expectations</w:t>
      </w:r>
      <w:r>
        <w:tab/>
      </w:r>
      <w:r>
        <w:fldChar w:fldCharType="begin"/>
      </w:r>
      <w:r>
        <w:instrText xml:space="preserve"> PAGEREF _Toc19001703 \h </w:instrText>
      </w:r>
      <w:r>
        <w:fldChar w:fldCharType="separate"/>
      </w:r>
      <w:r w:rsidR="00BE614C">
        <w:t>84</w:t>
      </w:r>
      <w:r>
        <w:fldChar w:fldCharType="end"/>
      </w:r>
    </w:p>
    <w:p w14:paraId="36EA54C6" w14:textId="0384A984" w:rsidR="004D59CF" w:rsidRDefault="004D59CF"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t>17</w:t>
      </w:r>
      <w:r w:rsidR="00774829">
        <w:tab/>
      </w:r>
      <w:r>
        <w:t>Stability of science-related career expectations LSAY Y06</w:t>
      </w:r>
      <w:r>
        <w:tab/>
      </w:r>
      <w:r>
        <w:fldChar w:fldCharType="begin"/>
      </w:r>
      <w:r>
        <w:instrText xml:space="preserve"> PAGEREF _Toc19001704 \h </w:instrText>
      </w:r>
      <w:r>
        <w:fldChar w:fldCharType="separate"/>
      </w:r>
      <w:r w:rsidR="00BE614C">
        <w:t>85</w:t>
      </w:r>
      <w:r>
        <w:fldChar w:fldCharType="end"/>
      </w:r>
    </w:p>
    <w:p w14:paraId="56C2F8C2" w14:textId="10288F85" w:rsidR="004D59CF" w:rsidRDefault="004D59CF" w:rsidP="00424132">
      <w:pPr>
        <w:pStyle w:val="TableofFigures"/>
        <w:tabs>
          <w:tab w:val="clear" w:pos="284"/>
          <w:tab w:val="left" w:pos="426"/>
          <w:tab w:val="left" w:pos="1140"/>
        </w:tabs>
        <w:ind w:left="426" w:right="1985" w:hanging="426"/>
        <w:rPr>
          <w:rFonts w:asciiTheme="minorHAnsi" w:eastAsiaTheme="minorEastAsia" w:hAnsiTheme="minorHAnsi" w:cstheme="minorBidi"/>
          <w:color w:val="auto"/>
          <w:sz w:val="22"/>
          <w:szCs w:val="22"/>
          <w:lang w:eastAsia="en-AU"/>
        </w:rPr>
      </w:pPr>
      <w:r>
        <w:t>18</w:t>
      </w:r>
      <w:r w:rsidR="00774829">
        <w:tab/>
      </w:r>
      <w:r>
        <w:t>Proportion of 15 to 19-year-olds at school who are employed, August 1986–2008</w:t>
      </w:r>
      <w:r>
        <w:tab/>
      </w:r>
      <w:r>
        <w:fldChar w:fldCharType="begin"/>
      </w:r>
      <w:r>
        <w:instrText xml:space="preserve"> PAGEREF _Toc19001705 \h </w:instrText>
      </w:r>
      <w:r>
        <w:fldChar w:fldCharType="separate"/>
      </w:r>
      <w:r w:rsidR="00BE614C">
        <w:t>94</w:t>
      </w:r>
      <w:r>
        <w:fldChar w:fldCharType="end"/>
      </w:r>
    </w:p>
    <w:p w14:paraId="10CE1999" w14:textId="211A78A0" w:rsidR="004D59CF" w:rsidRDefault="004D59CF" w:rsidP="00424132">
      <w:pPr>
        <w:pStyle w:val="TableofFigures"/>
        <w:tabs>
          <w:tab w:val="clear" w:pos="284"/>
          <w:tab w:val="left" w:pos="426"/>
          <w:tab w:val="left" w:pos="1140"/>
        </w:tabs>
        <w:ind w:left="426" w:right="1985" w:hanging="426"/>
        <w:rPr>
          <w:rFonts w:asciiTheme="minorHAnsi" w:eastAsiaTheme="minorEastAsia" w:hAnsiTheme="minorHAnsi" w:cstheme="minorBidi"/>
          <w:color w:val="auto"/>
          <w:sz w:val="22"/>
          <w:szCs w:val="22"/>
          <w:lang w:eastAsia="en-AU"/>
        </w:rPr>
      </w:pPr>
      <w:r>
        <w:lastRenderedPageBreak/>
        <w:t>19</w:t>
      </w:r>
      <w:r w:rsidR="00774829">
        <w:tab/>
      </w:r>
      <w:r>
        <w:t>Predictive probability of undertaking further study by hours worked in Year 12</w:t>
      </w:r>
      <w:r>
        <w:tab/>
      </w:r>
      <w:r>
        <w:fldChar w:fldCharType="begin"/>
      </w:r>
      <w:r>
        <w:instrText xml:space="preserve"> PAGEREF _Toc19001706 \h </w:instrText>
      </w:r>
      <w:r>
        <w:fldChar w:fldCharType="separate"/>
      </w:r>
      <w:r w:rsidR="00BE614C">
        <w:t>99</w:t>
      </w:r>
      <w:r>
        <w:fldChar w:fldCharType="end"/>
      </w:r>
    </w:p>
    <w:p w14:paraId="4DB8C45E" w14:textId="7D78C917" w:rsidR="004D59CF" w:rsidRDefault="004D59CF" w:rsidP="00424132">
      <w:pPr>
        <w:pStyle w:val="TableofFigures"/>
        <w:tabs>
          <w:tab w:val="clear" w:pos="284"/>
          <w:tab w:val="left" w:pos="426"/>
          <w:tab w:val="left" w:pos="1140"/>
        </w:tabs>
        <w:ind w:left="426" w:right="1985" w:hanging="426"/>
        <w:rPr>
          <w:rFonts w:asciiTheme="minorHAnsi" w:eastAsiaTheme="minorEastAsia" w:hAnsiTheme="minorHAnsi" w:cstheme="minorBidi"/>
          <w:color w:val="auto"/>
          <w:sz w:val="22"/>
          <w:szCs w:val="22"/>
          <w:lang w:eastAsia="en-AU"/>
        </w:rPr>
      </w:pPr>
      <w:r>
        <w:t>20</w:t>
      </w:r>
      <w:r w:rsidR="00774829">
        <w:tab/>
      </w:r>
      <w:r>
        <w:t>Predictive probability of post-school employment by hours worked in Year 12</w:t>
      </w:r>
      <w:r>
        <w:tab/>
      </w:r>
      <w:r>
        <w:fldChar w:fldCharType="begin"/>
      </w:r>
      <w:r>
        <w:instrText xml:space="preserve"> PAGEREF _Toc19001707 \h </w:instrText>
      </w:r>
      <w:r>
        <w:fldChar w:fldCharType="separate"/>
      </w:r>
      <w:r w:rsidR="00BE614C">
        <w:t>100</w:t>
      </w:r>
      <w:r>
        <w:fldChar w:fldCharType="end"/>
      </w:r>
    </w:p>
    <w:p w14:paraId="4452366B" w14:textId="09452F0F" w:rsidR="004D59CF" w:rsidRDefault="004D59CF"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t>21</w:t>
      </w:r>
      <w:r w:rsidR="00774829">
        <w:tab/>
      </w:r>
      <w:r>
        <w:t>Factors considered in the derivation of NEET status</w:t>
      </w:r>
      <w:r>
        <w:tab/>
      </w:r>
      <w:r>
        <w:fldChar w:fldCharType="begin"/>
      </w:r>
      <w:r>
        <w:instrText xml:space="preserve"> PAGEREF _Toc19001708 \h </w:instrText>
      </w:r>
      <w:r>
        <w:fldChar w:fldCharType="separate"/>
      </w:r>
      <w:r w:rsidR="00BE614C">
        <w:t>104</w:t>
      </w:r>
      <w:r>
        <w:fldChar w:fldCharType="end"/>
      </w:r>
    </w:p>
    <w:p w14:paraId="20FE92C5" w14:textId="1671E589" w:rsidR="004D59CF" w:rsidRDefault="004D59CF"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t>22</w:t>
      </w:r>
      <w:r w:rsidR="00774829">
        <w:tab/>
      </w:r>
      <w:r>
        <w:t>Size of the NEET groups (ages 15</w:t>
      </w:r>
      <w:r w:rsidRPr="00D701D7">
        <w:rPr>
          <w:rFonts w:cs="Arial"/>
        </w:rPr>
        <w:t>−</w:t>
      </w:r>
      <w:r>
        <w:t>24) in Y03 and Y06 across the full survey period</w:t>
      </w:r>
      <w:r>
        <w:tab/>
      </w:r>
      <w:r>
        <w:fldChar w:fldCharType="begin"/>
      </w:r>
      <w:r>
        <w:instrText xml:space="preserve"> PAGEREF _Toc19001709 \h </w:instrText>
      </w:r>
      <w:r>
        <w:fldChar w:fldCharType="separate"/>
      </w:r>
      <w:r w:rsidR="00BE614C">
        <w:t>105</w:t>
      </w:r>
      <w:r>
        <w:fldChar w:fldCharType="end"/>
      </w:r>
    </w:p>
    <w:p w14:paraId="6151589F" w14:textId="77990556" w:rsidR="004D59CF" w:rsidRDefault="004D59CF"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t>23</w:t>
      </w:r>
      <w:r w:rsidR="00774829">
        <w:tab/>
      </w:r>
      <w:r>
        <w:t>Size of the NEET groups (ages 15</w:t>
      </w:r>
      <w:r w:rsidRPr="00D701D7">
        <w:rPr>
          <w:rFonts w:cs="Arial"/>
        </w:rPr>
        <w:t>−19</w:t>
      </w:r>
      <w:r>
        <w:t>) in Y03 and Y06 between waves 1 and 5</w:t>
      </w:r>
      <w:r>
        <w:tab/>
      </w:r>
      <w:r>
        <w:fldChar w:fldCharType="begin"/>
      </w:r>
      <w:r>
        <w:instrText xml:space="preserve"> PAGEREF _Toc19001710 \h </w:instrText>
      </w:r>
      <w:r>
        <w:fldChar w:fldCharType="separate"/>
      </w:r>
      <w:r w:rsidR="00BE614C">
        <w:t>105</w:t>
      </w:r>
      <w:r>
        <w:fldChar w:fldCharType="end"/>
      </w:r>
    </w:p>
    <w:p w14:paraId="08C1A96D" w14:textId="6649A85E" w:rsidR="004D59CF" w:rsidRDefault="004D59CF"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rsidRPr="00D701D7">
        <w:rPr>
          <w:lang w:val="en-US"/>
        </w:rPr>
        <w:t>24</w:t>
      </w:r>
      <w:r w:rsidR="00774829">
        <w:rPr>
          <w:lang w:val="en-US"/>
        </w:rPr>
        <w:tab/>
      </w:r>
      <w:r w:rsidRPr="00D701D7">
        <w:rPr>
          <w:lang w:val="en-US"/>
        </w:rPr>
        <w:t>Visualising the pathways</w:t>
      </w:r>
      <w:r>
        <w:tab/>
      </w:r>
      <w:r>
        <w:fldChar w:fldCharType="begin"/>
      </w:r>
      <w:r>
        <w:instrText xml:space="preserve"> PAGEREF _Toc19001711 \h </w:instrText>
      </w:r>
      <w:r>
        <w:fldChar w:fldCharType="separate"/>
      </w:r>
      <w:r w:rsidR="00BE614C">
        <w:t>114</w:t>
      </w:r>
      <w:r>
        <w:fldChar w:fldCharType="end"/>
      </w:r>
    </w:p>
    <w:p w14:paraId="088D7006" w14:textId="00886617" w:rsidR="004D59CF" w:rsidRPr="00A57050" w:rsidRDefault="00424132" w:rsidP="00424132">
      <w:pPr>
        <w:pStyle w:val="TableofFigures"/>
        <w:tabs>
          <w:tab w:val="clear" w:pos="284"/>
          <w:tab w:val="left" w:pos="426"/>
        </w:tabs>
        <w:ind w:left="426" w:hanging="426"/>
      </w:pPr>
      <w:r>
        <w:tab/>
      </w:r>
      <w:r w:rsidR="00A57050" w:rsidRPr="00B44E57">
        <w:t xml:space="preserve">Pathway 1: Higher education and full-time work </w:t>
      </w:r>
      <w:r w:rsidR="00A57050">
        <w:br/>
      </w:r>
      <w:r w:rsidR="00A57050" w:rsidRPr="00B44E57">
        <w:t>(60% of the sample)</w:t>
      </w:r>
      <w:r w:rsidR="00A57050">
        <w:tab/>
      </w:r>
      <w:r w:rsidR="004D59CF">
        <w:fldChar w:fldCharType="begin"/>
      </w:r>
      <w:r w:rsidR="004D59CF">
        <w:instrText xml:space="preserve"> PAGEREF _Toc19001712 \h </w:instrText>
      </w:r>
      <w:r w:rsidR="004D59CF">
        <w:fldChar w:fldCharType="separate"/>
      </w:r>
      <w:r w:rsidR="00BE614C">
        <w:t>114</w:t>
      </w:r>
      <w:r w:rsidR="004D59CF">
        <w:fldChar w:fldCharType="end"/>
      </w:r>
    </w:p>
    <w:p w14:paraId="2977C1F3" w14:textId="0C3C3795" w:rsidR="004D59CF" w:rsidRDefault="00424132"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tab/>
      </w:r>
      <w:r w:rsidR="004D59CF" w:rsidRPr="00D701D7">
        <w:t xml:space="preserve">Pathway 2: Early entry to full-time work </w:t>
      </w:r>
      <w:r w:rsidR="00A57050">
        <w:br/>
      </w:r>
      <w:r w:rsidR="004D59CF" w:rsidRPr="00D701D7">
        <w:t>(23% of the sample)</w:t>
      </w:r>
      <w:r w:rsidR="00774829">
        <w:tab/>
      </w:r>
      <w:r w:rsidR="004D59CF">
        <w:fldChar w:fldCharType="begin"/>
      </w:r>
      <w:r w:rsidR="004D59CF">
        <w:instrText xml:space="preserve"> PAGEREF _Toc19001714 \h </w:instrText>
      </w:r>
      <w:r w:rsidR="004D59CF">
        <w:fldChar w:fldCharType="separate"/>
      </w:r>
      <w:r w:rsidR="00BE614C">
        <w:t>115</w:t>
      </w:r>
      <w:r w:rsidR="004D59CF">
        <w:fldChar w:fldCharType="end"/>
      </w:r>
    </w:p>
    <w:p w14:paraId="72585F3E" w14:textId="45B6944B" w:rsidR="004D59CF" w:rsidRDefault="00424132"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tab/>
      </w:r>
      <w:r w:rsidR="004D59CF">
        <w:t>Pathway 3: Mix of higher education and VET</w:t>
      </w:r>
      <w:r w:rsidR="00A57050">
        <w:br/>
      </w:r>
      <w:r w:rsidR="004D59CF">
        <w:t>(8% of the sample)</w:t>
      </w:r>
      <w:r w:rsidR="004D59CF">
        <w:tab/>
      </w:r>
      <w:r w:rsidR="004D59CF">
        <w:fldChar w:fldCharType="begin"/>
      </w:r>
      <w:r w:rsidR="004D59CF">
        <w:instrText xml:space="preserve"> PAGEREF _Toc19001715 \h </w:instrText>
      </w:r>
      <w:r w:rsidR="004D59CF">
        <w:fldChar w:fldCharType="separate"/>
      </w:r>
      <w:r w:rsidR="00BE614C">
        <w:t>116</w:t>
      </w:r>
      <w:r w:rsidR="004D59CF">
        <w:fldChar w:fldCharType="end"/>
      </w:r>
    </w:p>
    <w:p w14:paraId="236D9C3D" w14:textId="77044D40" w:rsidR="004D59CF" w:rsidRDefault="00774829"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tab/>
      </w:r>
      <w:r w:rsidR="004D59CF">
        <w:t>Pathway 4: Churning and NILF (5% of the sample)</w:t>
      </w:r>
      <w:r w:rsidR="004D59CF">
        <w:tab/>
      </w:r>
      <w:r w:rsidR="004D59CF">
        <w:fldChar w:fldCharType="begin"/>
      </w:r>
      <w:r w:rsidR="004D59CF">
        <w:instrText xml:space="preserve"> PAGEREF _Toc19001716 \h </w:instrText>
      </w:r>
      <w:r w:rsidR="004D59CF">
        <w:fldChar w:fldCharType="separate"/>
      </w:r>
      <w:r w:rsidR="00BE614C">
        <w:t>117</w:t>
      </w:r>
      <w:r w:rsidR="004D59CF">
        <w:fldChar w:fldCharType="end"/>
      </w:r>
    </w:p>
    <w:p w14:paraId="54E00BDB" w14:textId="5F4CC002" w:rsidR="004D59CF" w:rsidRDefault="00774829" w:rsidP="00424132">
      <w:pPr>
        <w:pStyle w:val="TableofFigures"/>
        <w:tabs>
          <w:tab w:val="clear" w:pos="284"/>
          <w:tab w:val="left" w:pos="426"/>
        </w:tabs>
        <w:ind w:left="426" w:right="1985" w:hanging="426"/>
        <w:rPr>
          <w:rFonts w:asciiTheme="minorHAnsi" w:eastAsiaTheme="minorEastAsia" w:hAnsiTheme="minorHAnsi" w:cstheme="minorBidi"/>
          <w:color w:val="auto"/>
          <w:sz w:val="22"/>
          <w:szCs w:val="22"/>
          <w:lang w:eastAsia="en-AU"/>
        </w:rPr>
      </w:pPr>
      <w:r>
        <w:tab/>
      </w:r>
      <w:r w:rsidR="004D59CF">
        <w:t>Pathway 5: Mostly working part-time (4% of the sample)</w:t>
      </w:r>
      <w:r w:rsidR="004D59CF">
        <w:tab/>
      </w:r>
      <w:r w:rsidR="004D59CF">
        <w:fldChar w:fldCharType="begin"/>
      </w:r>
      <w:r w:rsidR="004D59CF">
        <w:instrText xml:space="preserve"> PAGEREF _Toc19001719 \h </w:instrText>
      </w:r>
      <w:r w:rsidR="004D59CF">
        <w:fldChar w:fldCharType="separate"/>
      </w:r>
      <w:r w:rsidR="00BE614C">
        <w:t>118</w:t>
      </w:r>
      <w:r w:rsidR="004D59CF">
        <w:fldChar w:fldCharType="end"/>
      </w:r>
    </w:p>
    <w:p w14:paraId="13BCC89C" w14:textId="04B92252" w:rsidR="00ED0C08" w:rsidRDefault="00ED0C08" w:rsidP="00774829">
      <w:pPr>
        <w:pStyle w:val="TableofFigures"/>
        <w:tabs>
          <w:tab w:val="left" w:pos="953"/>
        </w:tabs>
        <w:ind w:right="1985"/>
      </w:pPr>
      <w:r>
        <w:fldChar w:fldCharType="end"/>
      </w:r>
    </w:p>
    <w:p w14:paraId="67A25F83" w14:textId="77777777" w:rsidR="00ED0C08" w:rsidRPr="00A93867" w:rsidRDefault="00ED0C08" w:rsidP="00ED0C08">
      <w:pPr>
        <w:pStyle w:val="Text"/>
        <w:rPr>
          <w:b/>
        </w:rPr>
      </w:pPr>
    </w:p>
    <w:p w14:paraId="5B370A44" w14:textId="77777777" w:rsidR="00EB0AD7" w:rsidRDefault="00EB0AD7" w:rsidP="005955B2">
      <w:pPr>
        <w:pStyle w:val="Text"/>
      </w:pPr>
    </w:p>
    <w:p w14:paraId="6991BF32" w14:textId="77777777" w:rsidR="00606061" w:rsidRPr="009B4D4E" w:rsidRDefault="00606061" w:rsidP="005955B2">
      <w:pPr>
        <w:pStyle w:val="Text"/>
      </w:pPr>
      <w:bookmarkStart w:id="39" w:name="_Toc416260886"/>
      <w:bookmarkEnd w:id="10"/>
      <w:bookmarkEnd w:id="11"/>
      <w:bookmarkEnd w:id="12"/>
      <w:bookmarkEnd w:id="13"/>
    </w:p>
    <w:p w14:paraId="1760E1F8" w14:textId="77777777" w:rsidR="00366E4E" w:rsidRDefault="00366E4E" w:rsidP="00606061">
      <w:pPr>
        <w:spacing w:before="0" w:line="240" w:lineRule="auto"/>
        <w:rPr>
          <w:noProof/>
        </w:rPr>
        <w:sectPr w:rsidR="00366E4E" w:rsidSect="001E288A">
          <w:headerReference w:type="default" r:id="rId27"/>
          <w:footerReference w:type="even" r:id="rId28"/>
          <w:footerReference w:type="default" r:id="rId29"/>
          <w:pgSz w:w="11907" w:h="16840" w:code="9"/>
          <w:pgMar w:top="1276" w:right="2835" w:bottom="567" w:left="1134" w:header="709" w:footer="567" w:gutter="0"/>
          <w:cols w:space="708"/>
          <w:docGrid w:linePitch="360"/>
        </w:sectPr>
      </w:pPr>
    </w:p>
    <w:p w14:paraId="29C4F046" w14:textId="04248F78" w:rsidR="008B5306" w:rsidRPr="007B0FD9" w:rsidRDefault="00606061">
      <w:pPr>
        <w:pStyle w:val="Heading1"/>
      </w:pPr>
      <w:r>
        <w:rPr>
          <w:noProof/>
        </w:rPr>
        <w:br w:type="page"/>
      </w:r>
      <w:bookmarkStart w:id="40" w:name="_Toc19803890"/>
      <w:r w:rsidR="007668DB">
        <w:lastRenderedPageBreak/>
        <w:t>R</w:t>
      </w:r>
      <w:r w:rsidR="008B5306">
        <w:t>esearch using LSAY</w:t>
      </w:r>
      <w:r w:rsidR="007668DB">
        <w:t xml:space="preserve">: reflections </w:t>
      </w:r>
      <w:r w:rsidR="00D90E89">
        <w:t xml:space="preserve">from </w:t>
      </w:r>
      <w:r w:rsidR="00D90E89" w:rsidRPr="007B0FD9">
        <w:t>Tom Karmel</w:t>
      </w:r>
      <w:bookmarkEnd w:id="40"/>
    </w:p>
    <w:p w14:paraId="03427F08" w14:textId="4C1C54AB" w:rsidR="008B5306" w:rsidRPr="008B5306" w:rsidRDefault="008B5306" w:rsidP="008B5306">
      <w:pPr>
        <w:pStyle w:val="Text"/>
        <w:rPr>
          <w:i/>
          <w:sz w:val="22"/>
        </w:rPr>
      </w:pPr>
      <w:r w:rsidRPr="008B5306">
        <w:rPr>
          <w:i/>
          <w:sz w:val="22"/>
        </w:rPr>
        <w:t>Tom Karmel</w:t>
      </w:r>
      <w:r w:rsidR="00346AAF">
        <w:rPr>
          <w:i/>
          <w:sz w:val="22"/>
        </w:rPr>
        <w:t xml:space="preserve"> was </w:t>
      </w:r>
      <w:r w:rsidR="004D5DDD">
        <w:rPr>
          <w:i/>
          <w:sz w:val="22"/>
        </w:rPr>
        <w:t>Managing D</w:t>
      </w:r>
      <w:r w:rsidR="00346AAF">
        <w:rPr>
          <w:i/>
          <w:sz w:val="22"/>
        </w:rPr>
        <w:t xml:space="preserve">irector of NCVER from </w:t>
      </w:r>
      <w:r w:rsidR="00DC53F1">
        <w:rPr>
          <w:i/>
          <w:sz w:val="22"/>
        </w:rPr>
        <w:t>2002</w:t>
      </w:r>
      <w:r w:rsidR="00346AAF">
        <w:rPr>
          <w:i/>
          <w:sz w:val="22"/>
        </w:rPr>
        <w:t xml:space="preserve"> to </w:t>
      </w:r>
      <w:r w:rsidR="00DC53F1">
        <w:rPr>
          <w:i/>
          <w:sz w:val="22"/>
        </w:rPr>
        <w:t>2013</w:t>
      </w:r>
    </w:p>
    <w:p w14:paraId="291001F7" w14:textId="407F0018" w:rsidR="008B5306" w:rsidRPr="00CF3D6A" w:rsidRDefault="008B5306" w:rsidP="00CF3D6A">
      <w:pPr>
        <w:pStyle w:val="Text"/>
      </w:pPr>
      <w:proofErr w:type="gramStart"/>
      <w:r w:rsidRPr="00662BA5">
        <w:t>Twenty</w:t>
      </w:r>
      <w:r w:rsidR="00EB07A2" w:rsidRPr="00662BA5">
        <w:t xml:space="preserve"> five</w:t>
      </w:r>
      <w:proofErr w:type="gramEnd"/>
      <w:r w:rsidRPr="00662BA5">
        <w:t xml:space="preserve"> years</w:t>
      </w:r>
      <w:r w:rsidRPr="00CF3D6A">
        <w:t xml:space="preserve"> of</w:t>
      </w:r>
      <w:r w:rsidR="00880289">
        <w:t xml:space="preserve"> the Longitudinal Surveys of Australian Youth (</w:t>
      </w:r>
      <w:r w:rsidRPr="00CF3D6A">
        <w:t>LSAY</w:t>
      </w:r>
      <w:r w:rsidR="00880289">
        <w:t>)</w:t>
      </w:r>
      <w:r w:rsidRPr="00CF3D6A">
        <w:t xml:space="preserve"> is worth celebrating</w:t>
      </w:r>
      <w:r w:rsidR="00772E6E">
        <w:t>,</w:t>
      </w:r>
      <w:r w:rsidRPr="00CF3D6A">
        <w:t xml:space="preserve"> but it is </w:t>
      </w:r>
      <w:r w:rsidR="00772E6E">
        <w:t xml:space="preserve">also </w:t>
      </w:r>
      <w:r w:rsidRPr="00CF3D6A">
        <w:t>worth reflecting that longitudinal surveys of Australian youth go back far longer (see Karmel 2013). There have been four such surveys, beginning with the Youth in Transition Survey</w:t>
      </w:r>
      <w:r w:rsidR="00880289">
        <w:t xml:space="preserve"> (YITS)</w:t>
      </w:r>
      <w:r w:rsidR="00D123B0">
        <w:t>,</w:t>
      </w:r>
      <w:r w:rsidRPr="00CF3D6A">
        <w:t xml:space="preserve"> conducted by the Australian Council for Education Research</w:t>
      </w:r>
      <w:r w:rsidR="00880289">
        <w:t xml:space="preserve"> (ACER)</w:t>
      </w:r>
      <w:r w:rsidRPr="00CF3D6A">
        <w:t xml:space="preserve"> and followed by the Australian Longitudinal Surve</w:t>
      </w:r>
      <w:r w:rsidR="00E55393">
        <w:t>y (</w:t>
      </w:r>
      <w:r w:rsidR="00880289">
        <w:t xml:space="preserve">ALS, </w:t>
      </w:r>
      <w:r w:rsidRPr="00CF3D6A">
        <w:t xml:space="preserve">the responsibility of the </w:t>
      </w:r>
      <w:r w:rsidR="00B16899" w:rsidRPr="00CF3D6A">
        <w:t>short-lived</w:t>
      </w:r>
      <w:r w:rsidRPr="00CF3D6A">
        <w:t xml:space="preserve"> Bureau of Labour Market Research</w:t>
      </w:r>
      <w:r w:rsidR="00E55393">
        <w:t>)</w:t>
      </w:r>
      <w:r w:rsidRPr="00CF3D6A">
        <w:t>, the Australian Youth Survey</w:t>
      </w:r>
      <w:r w:rsidR="00880289">
        <w:t xml:space="preserve"> (AYS)</w:t>
      </w:r>
      <w:r w:rsidRPr="00CF3D6A">
        <w:t xml:space="preserve"> and</w:t>
      </w:r>
      <w:r w:rsidR="00A4569A">
        <w:t>,</w:t>
      </w:r>
      <w:r w:rsidRPr="00CF3D6A">
        <w:t xml:space="preserve"> finally, </w:t>
      </w:r>
      <w:r w:rsidR="00880289">
        <w:t>LSAY</w:t>
      </w:r>
      <w:r w:rsidRPr="00CF3D6A">
        <w:t xml:space="preserve">, currently managed by the National Centre </w:t>
      </w:r>
      <w:r w:rsidR="00E55393">
        <w:t>for</w:t>
      </w:r>
      <w:r w:rsidRPr="00CF3D6A">
        <w:t xml:space="preserve"> Vocational Education Research</w:t>
      </w:r>
      <w:r w:rsidR="00880289">
        <w:t xml:space="preserve"> (NCVER)</w:t>
      </w:r>
      <w:r w:rsidRPr="00CF3D6A">
        <w:t xml:space="preserve"> and previously by </w:t>
      </w:r>
      <w:r w:rsidR="00880289">
        <w:t>ACER</w:t>
      </w:r>
      <w:r w:rsidRPr="00CF3D6A">
        <w:t>.</w:t>
      </w:r>
    </w:p>
    <w:p w14:paraId="66283314" w14:textId="4490B673" w:rsidR="008B5306" w:rsidRDefault="008B5306" w:rsidP="00CF3D6A">
      <w:pPr>
        <w:pStyle w:val="Text"/>
      </w:pPr>
      <w:r w:rsidRPr="00CF3D6A">
        <w:t xml:space="preserve">The motivation behind the creation of this collection of surveys was the </w:t>
      </w:r>
      <w:r w:rsidR="0097678B">
        <w:t>rapid increase</w:t>
      </w:r>
      <w:r w:rsidRPr="00CF3D6A">
        <w:t xml:space="preserve"> in the unemployment rate in the 1970s as a result of two oil price shocks. Young people bore the brunt of the economic downturn</w:t>
      </w:r>
      <w:r w:rsidR="00A4569A">
        <w:t>,</w:t>
      </w:r>
      <w:r w:rsidRPr="00CF3D6A">
        <w:t xml:space="preserve"> </w:t>
      </w:r>
      <w:r w:rsidR="00F51945">
        <w:t>given</w:t>
      </w:r>
      <w:r w:rsidRPr="00CF3D6A">
        <w:t xml:space="preserve"> that they were the new entrants or aspiring entrants into the labour market. Prior to this, the transition from school to the labour market was not much of an issue for the simple reason that jobs for school leavers were easy to obtain. There were multiple entry paths into apprenticeships, banks, the public service and so on. Year 12 completion was not necessary </w:t>
      </w:r>
      <w:r w:rsidR="009D45A8">
        <w:t>for entry</w:t>
      </w:r>
      <w:r w:rsidRPr="00CF3D6A">
        <w:t xml:space="preserve"> into many of these pathways.</w:t>
      </w:r>
    </w:p>
    <w:p w14:paraId="406AD93F" w14:textId="2C2B35B2" w:rsidR="00FE0BEC" w:rsidRDefault="00FE0BEC" w:rsidP="00FE0BEC">
      <w:pPr>
        <w:pStyle w:val="Figuretitle"/>
      </w:pPr>
      <w:bookmarkStart w:id="41" w:name="_Toc19001687"/>
      <w:r>
        <w:t>Figure 1</w:t>
      </w:r>
      <w:r w:rsidR="00CA4C6A">
        <w:tab/>
      </w:r>
      <w:r>
        <w:t>Percentage of 15 to 19-year-olds and 20 to 24-year-olds in full-time education (1986</w:t>
      </w:r>
      <w:r>
        <w:rPr>
          <w:rFonts w:cs="Arial"/>
        </w:rPr>
        <w:t>−</w:t>
      </w:r>
      <w:r>
        <w:t>2018)</w:t>
      </w:r>
      <w:bookmarkEnd w:id="41"/>
    </w:p>
    <w:p w14:paraId="5E1D1682" w14:textId="77777777" w:rsidR="00FE0BEC" w:rsidRDefault="00FE0BEC" w:rsidP="00FE0BEC">
      <w:pPr>
        <w:rPr>
          <w:b/>
          <w:szCs w:val="19"/>
        </w:rPr>
      </w:pPr>
      <w:r>
        <w:rPr>
          <w:noProof/>
          <w:lang w:eastAsia="en-AU"/>
        </w:rPr>
        <w:drawing>
          <wp:anchor distT="0" distB="0" distL="114300" distR="114300" simplePos="0" relativeHeight="252065792" behindDoc="0" locked="0" layoutInCell="1" allowOverlap="1" wp14:anchorId="2E448CE1" wp14:editId="49379451">
            <wp:simplePos x="0" y="0"/>
            <wp:positionH relativeFrom="column">
              <wp:posOffset>-7522</wp:posOffset>
            </wp:positionH>
            <wp:positionV relativeFrom="paragraph">
              <wp:posOffset>64770</wp:posOffset>
            </wp:positionV>
            <wp:extent cx="5039995" cy="3132455"/>
            <wp:effectExtent l="0" t="0" r="8255" b="0"/>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1CF56427" w14:textId="77777777" w:rsidR="00FE0BEC" w:rsidRDefault="00FE0BEC" w:rsidP="00FE0BEC">
      <w:pPr>
        <w:rPr>
          <w:b/>
          <w:szCs w:val="19"/>
        </w:rPr>
      </w:pPr>
    </w:p>
    <w:p w14:paraId="0D0FE75D" w14:textId="77777777" w:rsidR="00FE0BEC" w:rsidRDefault="00FE0BEC" w:rsidP="00FE0BEC">
      <w:pPr>
        <w:rPr>
          <w:b/>
          <w:szCs w:val="19"/>
        </w:rPr>
      </w:pPr>
    </w:p>
    <w:p w14:paraId="362BA14B" w14:textId="77777777" w:rsidR="00FE0BEC" w:rsidRDefault="00FE0BEC" w:rsidP="00FE0BEC">
      <w:pPr>
        <w:rPr>
          <w:b/>
          <w:szCs w:val="19"/>
        </w:rPr>
      </w:pPr>
    </w:p>
    <w:p w14:paraId="42D7912A" w14:textId="77777777" w:rsidR="00FE0BEC" w:rsidRDefault="00FE0BEC" w:rsidP="00FE0BEC">
      <w:pPr>
        <w:rPr>
          <w:b/>
          <w:szCs w:val="19"/>
        </w:rPr>
      </w:pPr>
    </w:p>
    <w:p w14:paraId="62E8C6B5" w14:textId="77777777" w:rsidR="00FE0BEC" w:rsidRDefault="00FE0BEC" w:rsidP="00FE0BEC">
      <w:pPr>
        <w:rPr>
          <w:b/>
          <w:szCs w:val="19"/>
        </w:rPr>
      </w:pPr>
    </w:p>
    <w:p w14:paraId="171BEE6A" w14:textId="77777777" w:rsidR="00FE0BEC" w:rsidRDefault="00FE0BEC" w:rsidP="00FE0BEC">
      <w:pPr>
        <w:rPr>
          <w:b/>
          <w:szCs w:val="19"/>
        </w:rPr>
      </w:pPr>
    </w:p>
    <w:p w14:paraId="25961820" w14:textId="77777777" w:rsidR="00FE0BEC" w:rsidRDefault="00FE0BEC" w:rsidP="00FE0BEC">
      <w:pPr>
        <w:rPr>
          <w:b/>
          <w:szCs w:val="19"/>
        </w:rPr>
      </w:pPr>
    </w:p>
    <w:p w14:paraId="0A283F46" w14:textId="77777777" w:rsidR="00FE0BEC" w:rsidRDefault="00FE0BEC" w:rsidP="00FE0BEC">
      <w:pPr>
        <w:rPr>
          <w:b/>
          <w:szCs w:val="19"/>
        </w:rPr>
      </w:pPr>
    </w:p>
    <w:p w14:paraId="45100405" w14:textId="77777777" w:rsidR="00FE0BEC" w:rsidRDefault="00FE0BEC" w:rsidP="00FE0BEC">
      <w:pPr>
        <w:rPr>
          <w:b/>
          <w:szCs w:val="19"/>
        </w:rPr>
      </w:pPr>
    </w:p>
    <w:p w14:paraId="12771860" w14:textId="77777777" w:rsidR="00FE0BEC" w:rsidRDefault="00FE0BEC" w:rsidP="00FE0BEC">
      <w:pPr>
        <w:rPr>
          <w:b/>
          <w:szCs w:val="19"/>
        </w:rPr>
      </w:pPr>
    </w:p>
    <w:p w14:paraId="7DEEC535" w14:textId="77777777" w:rsidR="00FE0BEC" w:rsidRDefault="00FE0BEC" w:rsidP="00FE0BEC">
      <w:pPr>
        <w:rPr>
          <w:b/>
          <w:szCs w:val="19"/>
        </w:rPr>
      </w:pPr>
    </w:p>
    <w:p w14:paraId="4C107425" w14:textId="77777777" w:rsidR="00FE0BEC" w:rsidRDefault="00FE0BEC" w:rsidP="00FE0BEC">
      <w:pPr>
        <w:jc w:val="both"/>
      </w:pPr>
      <w:r>
        <w:t>Source: Australian Bureau of Statistics (2019).</w:t>
      </w:r>
    </w:p>
    <w:p w14:paraId="2F3C68A6" w14:textId="65B968E1" w:rsidR="008B5306" w:rsidRPr="00CF3D6A" w:rsidRDefault="008B5306" w:rsidP="00CF3D6A">
      <w:pPr>
        <w:pStyle w:val="Text"/>
      </w:pPr>
      <w:r w:rsidRPr="00CF3D6A">
        <w:t xml:space="preserve">From the introduction of the longitudinal youth surveys, transitions have been of high policy importance. The labour market continues to evolve, and there is no reason to </w:t>
      </w:r>
      <w:r w:rsidR="00561E67">
        <w:t>believe</w:t>
      </w:r>
      <w:r w:rsidRPr="00CF3D6A">
        <w:t xml:space="preserve"> that this will not continue to be the case. Associated with this change</w:t>
      </w:r>
      <w:r w:rsidR="000D06EF">
        <w:t>,</w:t>
      </w:r>
      <w:r w:rsidRPr="00CF3D6A">
        <w:t xml:space="preserve"> educational participation </w:t>
      </w:r>
      <w:r w:rsidRPr="00CF3D6A">
        <w:lastRenderedPageBreak/>
        <w:t xml:space="preserve">continues to increase, with full-time education becoming the dominant activity of </w:t>
      </w:r>
      <w:r w:rsidR="00B16899" w:rsidRPr="00CF3D6A">
        <w:t>15</w:t>
      </w:r>
      <w:r w:rsidR="00561E67">
        <w:t xml:space="preserve"> to </w:t>
      </w:r>
      <w:r w:rsidR="00A22B77" w:rsidRPr="00CF3D6A">
        <w:t>19-</w:t>
      </w:r>
      <w:r w:rsidR="00B16899" w:rsidRPr="00CF3D6A">
        <w:t>year-</w:t>
      </w:r>
      <w:r w:rsidRPr="00CF3D6A">
        <w:t>olds and increasingly important for 20</w:t>
      </w:r>
      <w:r w:rsidR="00561E67">
        <w:t xml:space="preserve"> to </w:t>
      </w:r>
      <w:r w:rsidR="00A22B77" w:rsidRPr="00CF3D6A">
        <w:t>24-</w:t>
      </w:r>
      <w:r w:rsidRPr="00CF3D6A">
        <w:t>year</w:t>
      </w:r>
      <w:r w:rsidR="00B16899" w:rsidRPr="00CF3D6A">
        <w:t>-</w:t>
      </w:r>
      <w:r w:rsidRPr="00CF3D6A">
        <w:t>olds (see figure 1).</w:t>
      </w:r>
    </w:p>
    <w:p w14:paraId="66BF6138" w14:textId="0BD2E809" w:rsidR="00AF1A53" w:rsidRDefault="00AF1A53" w:rsidP="00CF3D6A">
      <w:pPr>
        <w:pStyle w:val="Text"/>
      </w:pPr>
      <w:r>
        <w:t>These changes have brought various policy challenges relating to groups who are educationally disadvantaged. While there is no doubt that the better</w:t>
      </w:r>
      <w:r w:rsidR="00294B9B">
        <w:t>-</w:t>
      </w:r>
      <w:r>
        <w:t xml:space="preserve">educated </w:t>
      </w:r>
      <w:r w:rsidR="00294B9B">
        <w:t>are more succ</w:t>
      </w:r>
      <w:r w:rsidR="00547B46">
        <w:t>essful</w:t>
      </w:r>
      <w:r>
        <w:t xml:space="preserve"> in the labour market, it is not so clear that increasing levels of educational participation have benefited those who are educationally disadvantaged. In addition, it may be the case that increasing education participation in higher education will have implications for vocational education and training</w:t>
      </w:r>
      <w:r w:rsidR="00547B46">
        <w:t xml:space="preserve"> (VET)</w:t>
      </w:r>
      <w:r>
        <w:t>.</w:t>
      </w:r>
    </w:p>
    <w:p w14:paraId="02CEF8F9" w14:textId="3DB173C6" w:rsidR="00533F39" w:rsidRDefault="00533F39" w:rsidP="00CF3D6A">
      <w:pPr>
        <w:pStyle w:val="Text"/>
      </w:pPr>
      <w:r>
        <w:t xml:space="preserve">It is these issues </w:t>
      </w:r>
      <w:r w:rsidR="000D06EF">
        <w:t xml:space="preserve">that </w:t>
      </w:r>
      <w:r>
        <w:t xml:space="preserve">make </w:t>
      </w:r>
      <w:r w:rsidR="00063992">
        <w:t>LSAY</w:t>
      </w:r>
      <w:r>
        <w:t xml:space="preserve"> such an important resource. Three aspects underpin its utility:</w:t>
      </w:r>
    </w:p>
    <w:p w14:paraId="59320F7E" w14:textId="12F4C3B7" w:rsidR="00533F39" w:rsidRDefault="00547B46" w:rsidP="00294235">
      <w:pPr>
        <w:pStyle w:val="Text"/>
        <w:numPr>
          <w:ilvl w:val="0"/>
          <w:numId w:val="45"/>
        </w:numPr>
        <w:spacing w:before="120"/>
      </w:pPr>
      <w:r>
        <w:t>a</w:t>
      </w:r>
      <w:r w:rsidR="00533F39">
        <w:t xml:space="preserve"> rich characteri</w:t>
      </w:r>
      <w:r>
        <w:t>s</w:t>
      </w:r>
      <w:r w:rsidR="00533F39">
        <w:t>ation of the social and economic background of young people</w:t>
      </w:r>
    </w:p>
    <w:p w14:paraId="708946F7" w14:textId="68992A64" w:rsidR="00533F39" w:rsidRDefault="00547B46" w:rsidP="00294235">
      <w:pPr>
        <w:pStyle w:val="Text"/>
        <w:numPr>
          <w:ilvl w:val="0"/>
          <w:numId w:val="45"/>
        </w:numPr>
        <w:spacing w:before="120"/>
      </w:pPr>
      <w:r>
        <w:t>m</w:t>
      </w:r>
      <w:r w:rsidR="00533F39">
        <w:t xml:space="preserve">easures of academic achievement at age 15 </w:t>
      </w:r>
      <w:r w:rsidR="009A3858">
        <w:t xml:space="preserve">years </w:t>
      </w:r>
      <w:r w:rsidR="00533F39">
        <w:t xml:space="preserve">obtained from </w:t>
      </w:r>
      <w:r w:rsidR="00C00D20">
        <w:t>the Programme for International Student Assessment (</w:t>
      </w:r>
      <w:r w:rsidR="00533F39">
        <w:t>PISA</w:t>
      </w:r>
      <w:r w:rsidR="00C00D20">
        <w:t>)</w:t>
      </w:r>
    </w:p>
    <w:p w14:paraId="5D745BAD" w14:textId="5C9F70D3" w:rsidR="00533F39" w:rsidRDefault="00547B46" w:rsidP="00294235">
      <w:pPr>
        <w:pStyle w:val="Text"/>
        <w:numPr>
          <w:ilvl w:val="0"/>
          <w:numId w:val="45"/>
        </w:numPr>
        <w:spacing w:before="120"/>
      </w:pPr>
      <w:r>
        <w:t>o</w:t>
      </w:r>
      <w:r w:rsidR="00533F39">
        <w:t>bservations over time that enable analys</w:t>
      </w:r>
      <w:r w:rsidR="00D348AF">
        <w:t>e</w:t>
      </w:r>
      <w:r w:rsidR="00533F39">
        <w:t>s of pathways and transitions.</w:t>
      </w:r>
    </w:p>
    <w:p w14:paraId="53EDF60E" w14:textId="78F2F896" w:rsidR="00533F39" w:rsidRDefault="00533F39" w:rsidP="00CF3D6A">
      <w:pPr>
        <w:pStyle w:val="Text"/>
      </w:pPr>
      <w:r>
        <w:t xml:space="preserve">In addition, LSAY </w:t>
      </w:r>
      <w:r w:rsidR="00EE3248">
        <w:t>contains</w:t>
      </w:r>
      <w:r>
        <w:t xml:space="preserve"> school</w:t>
      </w:r>
      <w:r w:rsidR="00EE3248">
        <w:t>-</w:t>
      </w:r>
      <w:r>
        <w:t>level data</w:t>
      </w:r>
      <w:r w:rsidR="00D348AF">
        <w:t>,</w:t>
      </w:r>
      <w:r>
        <w:t xml:space="preserve"> which allow for the analysis of the impact of schools on outcomes. I should also add that the introduction of new cohorts has enabled </w:t>
      </w:r>
      <w:r w:rsidR="00EE3248">
        <w:t xml:space="preserve">the </w:t>
      </w:r>
      <w:r>
        <w:t>analysis of the impact of policy and structural changes on youth transitions.</w:t>
      </w:r>
    </w:p>
    <w:p w14:paraId="6B055ABD" w14:textId="2F1AD0E9" w:rsidR="00533F39" w:rsidRDefault="00533F39" w:rsidP="00CF3D6A">
      <w:pPr>
        <w:pStyle w:val="Text"/>
      </w:pPr>
      <w:r>
        <w:t xml:space="preserve">I </w:t>
      </w:r>
      <w:r w:rsidR="00EE3248">
        <w:t>was</w:t>
      </w:r>
      <w:r>
        <w:t xml:space="preserve"> involved in some </w:t>
      </w:r>
      <w:r w:rsidR="00EE3248">
        <w:t>10</w:t>
      </w:r>
      <w:r>
        <w:t xml:space="preserve"> pieces of research</w:t>
      </w:r>
      <w:r w:rsidR="009A2E14">
        <w:t>,</w:t>
      </w:r>
      <w:r>
        <w:t xml:space="preserve"> dating back to 2006</w:t>
      </w:r>
      <w:r w:rsidR="009A2E14">
        <w:t>,</w:t>
      </w:r>
      <w:r>
        <w:t xml:space="preserve"> and will spend the rest of this short paper summarising the findings. I group the research into four areas:</w:t>
      </w:r>
    </w:p>
    <w:p w14:paraId="4776F4D4" w14:textId="098CE9F1" w:rsidR="00533F39" w:rsidRDefault="00063992" w:rsidP="00294235">
      <w:pPr>
        <w:pStyle w:val="Text"/>
        <w:numPr>
          <w:ilvl w:val="0"/>
          <w:numId w:val="46"/>
        </w:numPr>
        <w:spacing w:before="120"/>
      </w:pPr>
      <w:r>
        <w:t>VET</w:t>
      </w:r>
    </w:p>
    <w:p w14:paraId="399B3FB5" w14:textId="54D20127" w:rsidR="00533F39" w:rsidRDefault="00EE3248" w:rsidP="00294235">
      <w:pPr>
        <w:pStyle w:val="Text"/>
        <w:numPr>
          <w:ilvl w:val="0"/>
          <w:numId w:val="46"/>
        </w:numPr>
        <w:spacing w:before="120"/>
      </w:pPr>
      <w:r w:rsidRPr="007B0FD9">
        <w:t>p</w:t>
      </w:r>
      <w:r w:rsidR="00533F39" w:rsidRPr="007B0FD9">
        <w:t>athways</w:t>
      </w:r>
    </w:p>
    <w:p w14:paraId="13E7E2AA" w14:textId="05C5507C" w:rsidR="00533F39" w:rsidRDefault="00EE3248" w:rsidP="00294235">
      <w:pPr>
        <w:pStyle w:val="Text"/>
        <w:numPr>
          <w:ilvl w:val="0"/>
          <w:numId w:val="46"/>
        </w:numPr>
        <w:spacing w:before="120"/>
      </w:pPr>
      <w:r>
        <w:t>a</w:t>
      </w:r>
      <w:r w:rsidR="00533F39">
        <w:t>spirations and social capital</w:t>
      </w:r>
    </w:p>
    <w:p w14:paraId="41EF5A6A" w14:textId="7A7F5361" w:rsidR="00533F39" w:rsidRDefault="00EE3248" w:rsidP="00294235">
      <w:pPr>
        <w:pStyle w:val="Text"/>
        <w:numPr>
          <w:ilvl w:val="0"/>
          <w:numId w:val="46"/>
        </w:numPr>
        <w:spacing w:before="120"/>
      </w:pPr>
      <w:r>
        <w:t>t</w:t>
      </w:r>
      <w:r w:rsidR="00533F39">
        <w:t>he impact of schools</w:t>
      </w:r>
      <w:r>
        <w:t>.</w:t>
      </w:r>
    </w:p>
    <w:p w14:paraId="5DBFC6FD" w14:textId="77777777" w:rsidR="005128A7" w:rsidRDefault="005128A7" w:rsidP="005128A7">
      <w:pPr>
        <w:pStyle w:val="Heading2"/>
      </w:pPr>
      <w:bookmarkStart w:id="42" w:name="_Toc15048879"/>
      <w:bookmarkStart w:id="43" w:name="_Toc19803891"/>
      <w:r>
        <w:t>Vocational education and training</w:t>
      </w:r>
      <w:bookmarkEnd w:id="42"/>
      <w:bookmarkEnd w:id="43"/>
    </w:p>
    <w:p w14:paraId="2141CA54" w14:textId="4C88C6F0" w:rsidR="005128A7" w:rsidRDefault="005128A7" w:rsidP="00CF3D6A">
      <w:pPr>
        <w:pStyle w:val="Text"/>
      </w:pPr>
      <w:r w:rsidRPr="00227E2A">
        <w:t xml:space="preserve">The first paper, </w:t>
      </w:r>
      <w:proofErr w:type="gramStart"/>
      <w:r w:rsidRPr="00227E2A">
        <w:rPr>
          <w:i/>
        </w:rPr>
        <w:t>Have</w:t>
      </w:r>
      <w:proofErr w:type="gramEnd"/>
      <w:r w:rsidRPr="00227E2A">
        <w:rPr>
          <w:i/>
        </w:rPr>
        <w:t xml:space="preserve"> school vocational education and training programs been successful?</w:t>
      </w:r>
      <w:r>
        <w:rPr>
          <w:i/>
        </w:rPr>
        <w:t xml:space="preserve"> </w:t>
      </w:r>
      <w:r>
        <w:t>(Anlezark, Karmel &amp; Ong 2006)</w:t>
      </w:r>
      <w:r w:rsidRPr="00227E2A">
        <w:t xml:space="preserve">, looked at a policy initiative promoting </w:t>
      </w:r>
      <w:r w:rsidR="00EE3248">
        <w:t>VET</w:t>
      </w:r>
      <w:r w:rsidRPr="00227E2A">
        <w:t xml:space="preserve"> programs at school as a way of engaging those who were not so academically inclined. It focused on the outcomes in terms of </w:t>
      </w:r>
      <w:r w:rsidR="00383428">
        <w:t>Y</w:t>
      </w:r>
      <w:r w:rsidRPr="00227E2A">
        <w:t xml:space="preserve">ear 12 retention </w:t>
      </w:r>
      <w:r>
        <w:t>or full-time engagement with employment or learning, or part-time employment together with part-time study. The main findings were:</w:t>
      </w:r>
    </w:p>
    <w:p w14:paraId="73FBBA00" w14:textId="77777777" w:rsidR="005128A7" w:rsidRDefault="005128A7" w:rsidP="00294235">
      <w:pPr>
        <w:pStyle w:val="Text"/>
        <w:numPr>
          <w:ilvl w:val="0"/>
          <w:numId w:val="47"/>
        </w:numPr>
        <w:spacing w:before="120"/>
      </w:pPr>
      <w:r>
        <w:t>Participation in school VET programs had a positive effect on Year 10 to Year 11 retention but a negative effect on Year 11 to Year 12. Overall, the effect on Year 10 to Year 12 retention was negative but the magnitude was too small to be of any significance.</w:t>
      </w:r>
    </w:p>
    <w:p w14:paraId="1B1B88C4" w14:textId="6AA0A43B" w:rsidR="005128A7" w:rsidRDefault="005128A7" w:rsidP="00294235">
      <w:pPr>
        <w:pStyle w:val="Text"/>
        <w:numPr>
          <w:ilvl w:val="0"/>
          <w:numId w:val="47"/>
        </w:numPr>
        <w:spacing w:before="120"/>
      </w:pPr>
      <w:r>
        <w:t xml:space="preserve">There was a clear positive impact (larger for girls) on post-school outcomes for students </w:t>
      </w:r>
      <w:r w:rsidR="00383428">
        <w:t>undertaking</w:t>
      </w:r>
      <w:r>
        <w:t xml:space="preserve"> VET programs in Year 11 but not going on to Year 12. It appears that the VET programs enabled some students to engage with the world of work very successfully, such that they did not return to school for Year 12.</w:t>
      </w:r>
    </w:p>
    <w:p w14:paraId="0A5A76F0" w14:textId="5B582C97" w:rsidR="005128A7" w:rsidRDefault="005128A7" w:rsidP="00294235">
      <w:pPr>
        <w:pStyle w:val="Text"/>
        <w:numPr>
          <w:ilvl w:val="0"/>
          <w:numId w:val="47"/>
        </w:numPr>
        <w:spacing w:before="120"/>
      </w:pPr>
      <w:r>
        <w:t xml:space="preserve">VET in </w:t>
      </w:r>
      <w:r w:rsidR="001C61C2">
        <w:t>S</w:t>
      </w:r>
      <w:r>
        <w:t>chool</w:t>
      </w:r>
      <w:r w:rsidR="001C61C2">
        <w:t>s</w:t>
      </w:r>
      <w:r>
        <w:t xml:space="preserve"> programs provide a clear vocational pathway for boys studying building and engineering. However, for other students the pathways were not so direct, with different types of VET studied inside and outside the school environment.</w:t>
      </w:r>
    </w:p>
    <w:p w14:paraId="4B917D59" w14:textId="77777777" w:rsidR="005128A7" w:rsidRDefault="005128A7" w:rsidP="000D06EF">
      <w:pPr>
        <w:pStyle w:val="Text"/>
      </w:pPr>
      <w:r>
        <w:lastRenderedPageBreak/>
        <w:t>The paper raised two policy questions:</w:t>
      </w:r>
    </w:p>
    <w:p w14:paraId="2782A6F6" w14:textId="77777777" w:rsidR="005128A7" w:rsidRDefault="005128A7" w:rsidP="00CF3D6A">
      <w:pPr>
        <w:pStyle w:val="Text"/>
        <w:numPr>
          <w:ilvl w:val="0"/>
          <w:numId w:val="47"/>
        </w:numPr>
      </w:pPr>
      <w:r>
        <w:t>Should school VET programs be offered in Year 10 rather than being concentrated in Years 11 and 12?</w:t>
      </w:r>
    </w:p>
    <w:p w14:paraId="471F8BDE" w14:textId="4EC3DB7A" w:rsidR="00672B4B" w:rsidRPr="002B0CC6" w:rsidRDefault="005128A7" w:rsidP="00CF3D6A">
      <w:pPr>
        <w:pStyle w:val="Text"/>
        <w:numPr>
          <w:ilvl w:val="0"/>
          <w:numId w:val="47"/>
        </w:numPr>
      </w:pPr>
      <w:r>
        <w:t>Should school VET programs be better aligned with the world of work or, alternatively, concentrate on broad prevocational skills?</w:t>
      </w:r>
    </w:p>
    <w:p w14:paraId="7FF38781" w14:textId="30D14415" w:rsidR="00D807DE" w:rsidRDefault="00D807DE" w:rsidP="00CF3D6A">
      <w:pPr>
        <w:pStyle w:val="Text"/>
      </w:pPr>
      <w:r>
        <w:t>The second and third papers on this topic have elements in common</w:t>
      </w:r>
      <w:r w:rsidR="001C61C2">
        <w:t>,</w:t>
      </w:r>
      <w:r>
        <w:t xml:space="preserve"> in the sense that they deal with interactions between </w:t>
      </w:r>
      <w:r w:rsidR="00063992">
        <w:t>VET</w:t>
      </w:r>
      <w:r>
        <w:t xml:space="preserve"> and traditional academic education. The first of these, </w:t>
      </w:r>
      <w:proofErr w:type="gramStart"/>
      <w:r>
        <w:rPr>
          <w:i/>
        </w:rPr>
        <w:t>The</w:t>
      </w:r>
      <w:proofErr w:type="gramEnd"/>
      <w:r>
        <w:rPr>
          <w:i/>
        </w:rPr>
        <w:t xml:space="preserve"> vocational equivalent to Year 12</w:t>
      </w:r>
      <w:r>
        <w:t xml:space="preserve"> (Lim &amp; Karmel 2011), addressed an issue of high policy relevance as governments promoted school retention. It had been recognised that traditional academic schooling was not attractive to a substantial section of the cohort </w:t>
      </w:r>
      <w:r w:rsidR="00A40B79">
        <w:t>who</w:t>
      </w:r>
      <w:r>
        <w:t xml:space="preserve"> w</w:t>
      </w:r>
      <w:r w:rsidR="00762FEA">
        <w:t>ere</w:t>
      </w:r>
      <w:r>
        <w:t xml:space="preserve"> being encouraged to complete schooling. Hence the notion emerged that there needed to be a ‘vocational equivalent to Year 12’. The two qualifications mooted were a certificate II or a certificate III. The paper focused on outcomes by age 25 </w:t>
      </w:r>
      <w:r w:rsidR="00D24F83">
        <w:t>years −</w:t>
      </w:r>
      <w:r>
        <w:t xml:space="preserve"> further study and full-time employment </w:t>
      </w:r>
      <w:r w:rsidR="00D24F83">
        <w:t>−</w:t>
      </w:r>
      <w:r>
        <w:t xml:space="preserve"> with the premise that qualifications could be considered equivalent if they have similar outcomes. Rather than compare outcomes for all students</w:t>
      </w:r>
      <w:r w:rsidR="007A3C3A">
        <w:t>,</w:t>
      </w:r>
      <w:r>
        <w:t xml:space="preserve"> the study compared those undertaking vocational qualifications with those completing Year 12 </w:t>
      </w:r>
      <w:r w:rsidR="00B137BA">
        <w:t>who had</w:t>
      </w:r>
      <w:r>
        <w:t xml:space="preserve"> either no tertiary e</w:t>
      </w:r>
      <w:r w:rsidR="000A2180">
        <w:t>ntrance</w:t>
      </w:r>
      <w:r>
        <w:t xml:space="preserve"> rank</w:t>
      </w:r>
      <w:r w:rsidR="00B137BA">
        <w:t xml:space="preserve"> (TER) </w:t>
      </w:r>
      <w:r>
        <w:t xml:space="preserve">or </w:t>
      </w:r>
      <w:r w:rsidR="001E5C02">
        <w:t xml:space="preserve">were </w:t>
      </w:r>
      <w:r>
        <w:t>in the lower half of the tertiary entrance rank distribution</w:t>
      </w:r>
      <w:r w:rsidR="001E5C02">
        <w:t>. This was done</w:t>
      </w:r>
      <w:r>
        <w:t xml:space="preserve"> on the basis that the vocational alternative was typically promoted for the less academically inclined.</w:t>
      </w:r>
    </w:p>
    <w:p w14:paraId="4AE65B2B" w14:textId="77777777" w:rsidR="00D807DE" w:rsidRPr="008C3D53" w:rsidRDefault="00D807DE" w:rsidP="00D807DE">
      <w:pPr>
        <w:jc w:val="both"/>
      </w:pPr>
      <w:r w:rsidRPr="008C3D53">
        <w:t>The findings challenged the notion of a vocational equivalent:</w:t>
      </w:r>
    </w:p>
    <w:p w14:paraId="02446C4C" w14:textId="78578C7B" w:rsidR="00D807DE" w:rsidRPr="008C3D53" w:rsidRDefault="00D807DE" w:rsidP="00294235">
      <w:pPr>
        <w:pStyle w:val="ListParagraph"/>
        <w:numPr>
          <w:ilvl w:val="0"/>
          <w:numId w:val="21"/>
        </w:numPr>
        <w:spacing w:before="120"/>
        <w:ind w:left="714" w:hanging="357"/>
        <w:contextualSpacing w:val="0"/>
        <w:jc w:val="both"/>
        <w:rPr>
          <w:rFonts w:ascii="Trebuchet MS" w:hAnsi="Trebuchet MS"/>
        </w:rPr>
      </w:pPr>
      <w:r w:rsidRPr="008C3D53">
        <w:rPr>
          <w:rFonts w:ascii="Trebuchet MS" w:hAnsi="Trebuchet MS"/>
        </w:rPr>
        <w:t xml:space="preserve">For males, all pathways (including early school leaving with no further VET study) </w:t>
      </w:r>
      <w:r w:rsidR="00C263A6">
        <w:rPr>
          <w:rFonts w:ascii="Trebuchet MS" w:hAnsi="Trebuchet MS"/>
        </w:rPr>
        <w:t>we</w:t>
      </w:r>
      <w:r w:rsidRPr="008C3D53">
        <w:rPr>
          <w:rFonts w:ascii="Trebuchet MS" w:hAnsi="Trebuchet MS"/>
        </w:rPr>
        <w:t>re equivalent to Year 12 completion in terms of employment outcomes. This suggests that equivalence has no meaning in this context.</w:t>
      </w:r>
    </w:p>
    <w:p w14:paraId="15FB53C3" w14:textId="51B5535A" w:rsidR="00D807DE" w:rsidRPr="008C3D53" w:rsidRDefault="00D807DE" w:rsidP="00294235">
      <w:pPr>
        <w:pStyle w:val="ListParagraph"/>
        <w:numPr>
          <w:ilvl w:val="0"/>
          <w:numId w:val="21"/>
        </w:numPr>
        <w:spacing w:before="120"/>
        <w:ind w:left="714" w:hanging="357"/>
        <w:contextualSpacing w:val="0"/>
        <w:jc w:val="both"/>
        <w:rPr>
          <w:rFonts w:ascii="Trebuchet MS" w:hAnsi="Trebuchet MS"/>
        </w:rPr>
      </w:pPr>
      <w:r w:rsidRPr="008C3D53">
        <w:rPr>
          <w:rFonts w:ascii="Trebuchet MS" w:hAnsi="Trebuchet MS"/>
        </w:rPr>
        <w:t xml:space="preserve">For females, certificate IIIs, but not certificate IIs, </w:t>
      </w:r>
      <w:r w:rsidR="00C263A6">
        <w:rPr>
          <w:rFonts w:ascii="Trebuchet MS" w:hAnsi="Trebuchet MS"/>
        </w:rPr>
        <w:t>we</w:t>
      </w:r>
      <w:r w:rsidRPr="008C3D53">
        <w:rPr>
          <w:rFonts w:ascii="Trebuchet MS" w:hAnsi="Trebuchet MS"/>
        </w:rPr>
        <w:t>re equivalent in terms of full-time employment or study.</w:t>
      </w:r>
    </w:p>
    <w:p w14:paraId="65C92380" w14:textId="394F2658" w:rsidR="00D807DE" w:rsidRPr="008C3D53" w:rsidRDefault="00D807DE" w:rsidP="00294235">
      <w:pPr>
        <w:pStyle w:val="ListParagraph"/>
        <w:numPr>
          <w:ilvl w:val="0"/>
          <w:numId w:val="21"/>
        </w:numPr>
        <w:spacing w:before="120"/>
        <w:ind w:left="714" w:hanging="357"/>
        <w:contextualSpacing w:val="0"/>
        <w:jc w:val="both"/>
        <w:rPr>
          <w:rFonts w:ascii="Trebuchet MS" w:hAnsi="Trebuchet MS"/>
        </w:rPr>
      </w:pPr>
      <w:r w:rsidRPr="008C3D53">
        <w:rPr>
          <w:rFonts w:ascii="Trebuchet MS" w:hAnsi="Trebuchet MS"/>
        </w:rPr>
        <w:t xml:space="preserve">In terms of further study outcomes, neither certificate IIs </w:t>
      </w:r>
      <w:r w:rsidR="009B1736">
        <w:rPr>
          <w:rFonts w:ascii="Trebuchet MS" w:hAnsi="Trebuchet MS"/>
        </w:rPr>
        <w:t>n</w:t>
      </w:r>
      <w:r w:rsidRPr="008C3D53">
        <w:rPr>
          <w:rFonts w:ascii="Trebuchet MS" w:hAnsi="Trebuchet MS"/>
        </w:rPr>
        <w:t>or IIIs were equivalent to completing Year 12.</w:t>
      </w:r>
    </w:p>
    <w:p w14:paraId="2B67C3FD" w14:textId="5C97D88F" w:rsidR="00D807DE" w:rsidRDefault="00D807DE" w:rsidP="006563EB">
      <w:pPr>
        <w:pStyle w:val="Text"/>
      </w:pPr>
      <w:r>
        <w:t>The conclusion is that vocational pathways must be considered as an alternative not a literal equivalent. However, if governments require a ‘vocational equivalent’ for rhetorical purposes, it should be at least certificate III level.</w:t>
      </w:r>
    </w:p>
    <w:p w14:paraId="32413B87" w14:textId="485BDFC8" w:rsidR="00D807DE" w:rsidRDefault="00D807DE" w:rsidP="006563EB">
      <w:pPr>
        <w:pStyle w:val="Text"/>
      </w:pPr>
      <w:r>
        <w:t xml:space="preserve">The third paper, </w:t>
      </w:r>
      <w:proofErr w:type="gramStart"/>
      <w:r>
        <w:rPr>
          <w:i/>
        </w:rPr>
        <w:t>The</w:t>
      </w:r>
      <w:proofErr w:type="gramEnd"/>
      <w:r>
        <w:rPr>
          <w:i/>
        </w:rPr>
        <w:t xml:space="preserve"> impact of increasing university participation on the pool of apprentices</w:t>
      </w:r>
      <w:r>
        <w:t xml:space="preserve"> (Karmel, Roberts &amp; Lim 2014), was written at a time when university participation was growing strongly following the </w:t>
      </w:r>
      <w:r w:rsidRPr="007B0FD9">
        <w:rPr>
          <w:i/>
        </w:rPr>
        <w:t xml:space="preserve">Bradley </w:t>
      </w:r>
      <w:r w:rsidR="002C5FBB" w:rsidRPr="002C5FBB">
        <w:rPr>
          <w:i/>
          <w:iCs/>
        </w:rPr>
        <w:t>r</w:t>
      </w:r>
      <w:r w:rsidRPr="002C5FBB">
        <w:rPr>
          <w:i/>
          <w:iCs/>
        </w:rPr>
        <w:t>eview</w:t>
      </w:r>
      <w:r>
        <w:t xml:space="preserve"> (Bradley et al. 2008). Maintaining the strength of the apprenticeship systems has been a long-standing aim of all Australian governments, and the motivation behind the research was to test an argument that increasing participation at university could quite possibly </w:t>
      </w:r>
      <w:r w:rsidR="002C5FBB">
        <w:t>attract</w:t>
      </w:r>
      <w:r>
        <w:t xml:space="preserve"> students who otherwise would have been apprentices. The paper compared two cohorts from LSAY, the first in Year 9 in 1995 and the second aged 15 years in 2006. Thus</w:t>
      </w:r>
      <w:r w:rsidR="00063992">
        <w:t>,</w:t>
      </w:r>
      <w:r>
        <w:t xml:space="preserve"> the cohorts were approximately </w:t>
      </w:r>
      <w:r w:rsidR="009052FF">
        <w:t>10</w:t>
      </w:r>
      <w:r>
        <w:t xml:space="preserve"> years apart, over which period university participation had increased substantially. The controls used for the analysis (restricted to young men) were reading and mathematics at age 15 and socioeconomic status. The main findings were:</w:t>
      </w:r>
    </w:p>
    <w:p w14:paraId="3D5AC874" w14:textId="77777777" w:rsidR="00AE03DC" w:rsidRDefault="00AE03DC" w:rsidP="006563EB">
      <w:pPr>
        <w:pStyle w:val="Text"/>
        <w:numPr>
          <w:ilvl w:val="0"/>
          <w:numId w:val="49"/>
        </w:numPr>
      </w:pPr>
      <w:r>
        <w:t>Young men are less likely to undertake an apprenticeship if they are academically inclined.</w:t>
      </w:r>
    </w:p>
    <w:p w14:paraId="5EC8E806" w14:textId="77777777" w:rsidR="00AE03DC" w:rsidRDefault="00AE03DC" w:rsidP="006563EB">
      <w:pPr>
        <w:pStyle w:val="Text"/>
        <w:numPr>
          <w:ilvl w:val="0"/>
          <w:numId w:val="49"/>
        </w:numPr>
      </w:pPr>
      <w:r>
        <w:lastRenderedPageBreak/>
        <w:t>Apprenticeships are more likely to be undertaken by young men from a lower socioeconomic background.</w:t>
      </w:r>
    </w:p>
    <w:p w14:paraId="5C7A1EDF" w14:textId="77777777" w:rsidR="00AE03DC" w:rsidRDefault="00AE03DC" w:rsidP="006563EB">
      <w:pPr>
        <w:pStyle w:val="Text"/>
        <w:numPr>
          <w:ilvl w:val="0"/>
          <w:numId w:val="49"/>
        </w:numPr>
      </w:pPr>
      <w:r>
        <w:t>The growth in university participation has come from academically lower-performing young men with a higher socioeconomic status.</w:t>
      </w:r>
    </w:p>
    <w:p w14:paraId="493B83B4" w14:textId="77777777" w:rsidR="00FF1F3D" w:rsidRDefault="00063992" w:rsidP="006563EB">
      <w:pPr>
        <w:pStyle w:val="Text"/>
      </w:pPr>
      <w:r>
        <w:t>T</w:t>
      </w:r>
      <w:r w:rsidR="00AE03DC">
        <w:t>he conclusion was that the expansion of higher education would have little effect on the ‘quality’ of potential apprentices. However, a further finding was that those in the best position to take advantage of opportunities in both apprenticeship and university places, do so, irrespective of whether</w:t>
      </w:r>
      <w:r w:rsidR="002D52D7">
        <w:t xml:space="preserve"> the</w:t>
      </w:r>
      <w:r w:rsidR="00AE03DC">
        <w:t xml:space="preserve"> position is measured by mathematics and reading achievement or socioeconomic status </w:t>
      </w:r>
      <w:r w:rsidR="00584780">
        <w:t>−</w:t>
      </w:r>
      <w:r w:rsidR="00AE03DC">
        <w:t xml:space="preserve"> education expansion </w:t>
      </w:r>
      <w:r w:rsidR="00876706">
        <w:t xml:space="preserve">is of least </w:t>
      </w:r>
      <w:r w:rsidR="00AE03DC">
        <w:t>benefit</w:t>
      </w:r>
      <w:r w:rsidR="00876706">
        <w:t xml:space="preserve"> to</w:t>
      </w:r>
      <w:r w:rsidR="00AE03DC">
        <w:t xml:space="preserve"> those who are disadvantaged.</w:t>
      </w:r>
      <w:r w:rsidR="00303361">
        <w:t xml:space="preserve"> </w:t>
      </w:r>
    </w:p>
    <w:p w14:paraId="505AF276" w14:textId="1903FE32" w:rsidR="00AE03DC" w:rsidRPr="001C0740" w:rsidRDefault="00AE03DC" w:rsidP="006563EB">
      <w:pPr>
        <w:pStyle w:val="Text"/>
      </w:pPr>
      <w:r>
        <w:t xml:space="preserve">The final paper, </w:t>
      </w:r>
      <w:r w:rsidRPr="00AE03DC">
        <w:rPr>
          <w:i/>
        </w:rPr>
        <w:t>Socioeconomic disadvantage and participation in tertiary education: preliminary thoughts</w:t>
      </w:r>
      <w:r>
        <w:t xml:space="preserve"> (Karmel &amp; Lim 2013), is a little different, being largely concerned with how socioeconomic status should be measured for the purposes of education policy. This is an important issue because much of education policy</w:t>
      </w:r>
      <w:r w:rsidR="0012388A">
        <w:t xml:space="preserve"> is directed towards</w:t>
      </w:r>
      <w:r>
        <w:t xml:space="preserve"> the issue of disadvantage.</w:t>
      </w:r>
    </w:p>
    <w:p w14:paraId="44534382" w14:textId="65418572" w:rsidR="00AE03DC" w:rsidRDefault="00AE03DC" w:rsidP="006563EB">
      <w:pPr>
        <w:pStyle w:val="Text"/>
      </w:pPr>
      <w:r>
        <w:t xml:space="preserve">Typically, socioeconomic status is measured for practical reasons by </w:t>
      </w:r>
      <w:r w:rsidR="00D26180">
        <w:t xml:space="preserve">the </w:t>
      </w:r>
      <w:r>
        <w:t>Socio-Economic Indexes for Areas (SEIFA)</w:t>
      </w:r>
      <w:r w:rsidR="00AB74E3">
        <w:t>, compiled by the Australian Bureau of Statistics</w:t>
      </w:r>
      <w:r w:rsidR="00D632F9">
        <w:t xml:space="preserve"> (ABS)</w:t>
      </w:r>
      <w:r>
        <w:t>. LSAY data enable us to compare this area-based measure with a socioeconomic status index based on actual family characteristics, noting LSAY’s very rich bank of socioeconomic variables.</w:t>
      </w:r>
    </w:p>
    <w:p w14:paraId="49519F2D" w14:textId="76C8320B" w:rsidR="00AE03DC" w:rsidRDefault="00AE03DC" w:rsidP="006563EB">
      <w:pPr>
        <w:pStyle w:val="Text"/>
      </w:pPr>
      <w:r>
        <w:t>Of some concern is that we find that SEIFA measures are very poor in classifying individuals by socioeconomic status (</w:t>
      </w:r>
      <w:r w:rsidR="00436DA6">
        <w:t xml:space="preserve">SES; </w:t>
      </w:r>
      <w:r>
        <w:t xml:space="preserve">see also Lim &amp; </w:t>
      </w:r>
      <w:proofErr w:type="spellStart"/>
      <w:r>
        <w:t>Gemici</w:t>
      </w:r>
      <w:proofErr w:type="spellEnd"/>
      <w:r>
        <w:t xml:space="preserve"> 2011). Nevertheless, SEIFA measures perform quite well in measuring the aggregate relationship between socioeconomic status and educational participation.</w:t>
      </w:r>
    </w:p>
    <w:p w14:paraId="5B547017" w14:textId="4296811F" w:rsidR="00AE03DC" w:rsidRDefault="00AE03DC" w:rsidP="006563EB">
      <w:pPr>
        <w:pStyle w:val="Text"/>
      </w:pPr>
      <w:r>
        <w:t xml:space="preserve">An implication of SEIFA’s poor classificatory ability is that any policy that targets funding </w:t>
      </w:r>
      <w:r w:rsidR="008D6D1F">
        <w:t>based on</w:t>
      </w:r>
      <w:r>
        <w:t xml:space="preserve"> SEIFA will result in funds being badly misdirected.</w:t>
      </w:r>
    </w:p>
    <w:p w14:paraId="515D0E07" w14:textId="6947B93C" w:rsidR="00AE03DC" w:rsidRDefault="00AE03DC" w:rsidP="006563EB">
      <w:pPr>
        <w:pStyle w:val="Text"/>
      </w:pPr>
      <w:r>
        <w:t xml:space="preserve">The reason for including this paper under the topic heading of </w:t>
      </w:r>
      <w:r w:rsidR="005405EE">
        <w:t>vocational education and training</w:t>
      </w:r>
      <w:r>
        <w:t xml:space="preserve"> is that, among other things, it exploits the SES measure to </w:t>
      </w:r>
      <w:r w:rsidR="00D75339">
        <w:t>examine</w:t>
      </w:r>
      <w:r>
        <w:t xml:space="preserve"> how well the VET sector serves low</w:t>
      </w:r>
      <w:r w:rsidR="00D75339">
        <w:t>-</w:t>
      </w:r>
      <w:r>
        <w:t xml:space="preserve">SES </w:t>
      </w:r>
      <w:proofErr w:type="gramStart"/>
      <w:r>
        <w:t>students, and</w:t>
      </w:r>
      <w:proofErr w:type="gramEnd"/>
      <w:r>
        <w:t xml:space="preserve"> includes some work pertinent to</w:t>
      </w:r>
      <w:r w:rsidR="008D6D1F">
        <w:t xml:space="preserve"> the</w:t>
      </w:r>
      <w:r>
        <w:t xml:space="preserve"> likely effects of expanding higher education.</w:t>
      </w:r>
    </w:p>
    <w:p w14:paraId="79EFFD0E" w14:textId="130DEF0C" w:rsidR="00AE03DC" w:rsidRDefault="00AE03DC" w:rsidP="006563EB">
      <w:pPr>
        <w:pStyle w:val="Text"/>
      </w:pPr>
      <w:r>
        <w:t>Some simple tabular analyses indicate that VET does a good job for low-</w:t>
      </w:r>
      <w:r w:rsidR="00D75339">
        <w:t>SES</w:t>
      </w:r>
      <w:r>
        <w:t xml:space="preserve"> individuals and is not overly biased toward</w:t>
      </w:r>
      <w:r w:rsidR="00D75339">
        <w:t>s</w:t>
      </w:r>
      <w:r>
        <w:t xml:space="preserve"> lower-level qualifications for this group. In addition, the group most likely to be affected by an expansion in the higher education sector will be those </w:t>
      </w:r>
      <w:r w:rsidR="00CB28F4">
        <w:t xml:space="preserve">who are </w:t>
      </w:r>
      <w:r>
        <w:t xml:space="preserve">not currently undertaking post-school study rather than those </w:t>
      </w:r>
      <w:r w:rsidR="00CB28F4">
        <w:t xml:space="preserve">who are </w:t>
      </w:r>
      <w:r>
        <w:t>currently undertaking VET. The paper also observes that SEIFA would be a very poor measure to implement any expansion in higher education aimed at low-</w:t>
      </w:r>
      <w:r w:rsidR="00D75339">
        <w:t>SES</w:t>
      </w:r>
      <w:r>
        <w:t xml:space="preserve"> individuals.</w:t>
      </w:r>
    </w:p>
    <w:p w14:paraId="1991B36D" w14:textId="3DA2DA8B" w:rsidR="002D52D7" w:rsidRDefault="002D52D7" w:rsidP="002D52D7">
      <w:pPr>
        <w:pStyle w:val="Heading2"/>
      </w:pPr>
      <w:bookmarkStart w:id="44" w:name="_Toc15048880"/>
      <w:bookmarkStart w:id="45" w:name="_Toc19803892"/>
      <w:r>
        <w:t>Pathways</w:t>
      </w:r>
      <w:bookmarkEnd w:id="44"/>
      <w:bookmarkEnd w:id="45"/>
    </w:p>
    <w:p w14:paraId="059D13C0" w14:textId="77777777" w:rsidR="002D52D7" w:rsidRDefault="002D52D7" w:rsidP="006563EB">
      <w:pPr>
        <w:pStyle w:val="Text"/>
      </w:pPr>
      <w:r>
        <w:t>One of the obvious benefits of a longitudinal survey is that it enables pathways to be examined.</w:t>
      </w:r>
    </w:p>
    <w:p w14:paraId="760B543C" w14:textId="1DBB9EDB" w:rsidR="002D52D7" w:rsidRDefault="002D52D7" w:rsidP="006563EB">
      <w:pPr>
        <w:pStyle w:val="Text"/>
      </w:pPr>
      <w:r>
        <w:rPr>
          <w:i/>
        </w:rPr>
        <w:t>Which paths work for which young people?</w:t>
      </w:r>
      <w:r>
        <w:t xml:space="preserve"> (Karmel &amp; Lui 2011) </w:t>
      </w:r>
      <w:r w:rsidR="00EE0A9F">
        <w:t>examines</w:t>
      </w:r>
      <w:r>
        <w:t xml:space="preserve"> whether those who are less academic benefit from completing Year 12 and post-school education and training to the same extent as the more academically inclined. The research looks at the education path chosen, rather than necessarily completed. The interest </w:t>
      </w:r>
      <w:r w:rsidR="00EB63EE">
        <w:t xml:space="preserve">lies </w:t>
      </w:r>
      <w:r>
        <w:t xml:space="preserve">in how the </w:t>
      </w:r>
      <w:r>
        <w:lastRenderedPageBreak/>
        <w:t>route an individual chooses affects the later employment, wages, job status, financial wellbeing and happiness of young people, based on the 1995 cohort of LSAY.</w:t>
      </w:r>
    </w:p>
    <w:p w14:paraId="2BAB7770" w14:textId="379F8F97" w:rsidR="002D52D7" w:rsidRDefault="002D52D7" w:rsidP="006563EB">
      <w:pPr>
        <w:pStyle w:val="Text"/>
      </w:pPr>
      <w:r>
        <w:t xml:space="preserve">The analysis suggested that, on average, completing Year 12 is no longer </w:t>
      </w:r>
      <w:r w:rsidR="008D6D1F">
        <w:t>enough</w:t>
      </w:r>
      <w:r>
        <w:t xml:space="preserve">; rather, young people today need to have Year 12 plus further study to </w:t>
      </w:r>
      <w:r w:rsidR="00EB63EE">
        <w:t>put</w:t>
      </w:r>
      <w:r>
        <w:t xml:space="preserve"> them on a path to success. For males</w:t>
      </w:r>
      <w:r w:rsidR="00EB63EE">
        <w:t>,</w:t>
      </w:r>
      <w:r>
        <w:t xml:space="preserve"> an apprenticeship after Year 12 is an attractive route, as is university study; for females</w:t>
      </w:r>
      <w:r w:rsidR="00BA6320">
        <w:t>,</w:t>
      </w:r>
      <w:r>
        <w:t xml:space="preserve"> the best choice is university, even for those with lower levels of academic orientation.</w:t>
      </w:r>
    </w:p>
    <w:p w14:paraId="6C11BE0E" w14:textId="37100837" w:rsidR="002D52D7" w:rsidRDefault="002D52D7" w:rsidP="006563EB">
      <w:pPr>
        <w:pStyle w:val="Text"/>
      </w:pPr>
      <w:r>
        <w:t xml:space="preserve">I am not suggesting that everyone should be forced to complete Year 12 and </w:t>
      </w:r>
      <w:r w:rsidR="00BA6320">
        <w:t>continue</w:t>
      </w:r>
      <w:r>
        <w:t xml:space="preserve"> to further study. While the best paths involve Year 12 and certain types of post-school study, it is also the case that paths that include Year 12 do not necessarily lead to superior outcomes, relative to those involving leaving school before Year 12. In addition, things are not black and white </w:t>
      </w:r>
      <w:r w:rsidR="00BA6320">
        <w:t>−</w:t>
      </w:r>
      <w:r>
        <w:t xml:space="preserve"> the choice of path is not always of consequence. For males, paths only have salience for satisfaction with life, the occupational status of full-time workers and the pay of full-time workers. For engagement with full-time work or study, full-time employment, financial wellbeing, and satisfaction with work, the paths do not really matter. That is, the transition from school to adulthood can work well </w:t>
      </w:r>
      <w:r w:rsidR="00BA6320">
        <w:t>−</w:t>
      </w:r>
      <w:r>
        <w:t xml:space="preserve"> in relation to these outcome measures </w:t>
      </w:r>
      <w:r w:rsidR="00BA6320">
        <w:t>−</w:t>
      </w:r>
      <w:r>
        <w:t xml:space="preserve"> for young men following any of the paths. For females, educational paths matter for attaining full-time engagement and pay for full-time workers and occupational status for full-time workers, but do not matter for financial wellbeing, satisfaction with life and job status for part-time workers.</w:t>
      </w:r>
    </w:p>
    <w:p w14:paraId="7FB50C07" w14:textId="461B68AE" w:rsidR="002D52D7" w:rsidRDefault="002D52D7" w:rsidP="006563EB">
      <w:pPr>
        <w:pStyle w:val="Text"/>
      </w:pPr>
      <w:r>
        <w:t xml:space="preserve">The second paper on this topic has a much narrower focus. </w:t>
      </w:r>
      <w:r>
        <w:rPr>
          <w:i/>
        </w:rPr>
        <w:t>Starting out in low-skill jobs</w:t>
      </w:r>
      <w:r>
        <w:t xml:space="preserve"> (Karmel, Lu &amp; Oliver 2013) </w:t>
      </w:r>
      <w:r w:rsidR="00F667C3">
        <w:t>investigates</w:t>
      </w:r>
      <w:r>
        <w:t xml:space="preserve"> whether a low-skill job can </w:t>
      </w:r>
      <w:r w:rsidR="00F667C3">
        <w:t>establish</w:t>
      </w:r>
      <w:r>
        <w:t xml:space="preserve"> a solid foundation for success in the labour market or whether it can have a ‘scarring’ effect on the individuals. In this context low skill is defined as level 4 or 5 of the skill levels allocated by the </w:t>
      </w:r>
      <w:r w:rsidR="00D632F9">
        <w:t>ABS</w:t>
      </w:r>
      <w:r>
        <w:t>.</w:t>
      </w:r>
    </w:p>
    <w:p w14:paraId="5F9B6CF1" w14:textId="77777777" w:rsidR="002D52D7" w:rsidRDefault="002D52D7" w:rsidP="006563EB">
      <w:pPr>
        <w:pStyle w:val="Text"/>
      </w:pPr>
      <w:r>
        <w:t>The main findings were:</w:t>
      </w:r>
    </w:p>
    <w:p w14:paraId="68AF31E4" w14:textId="2AC53666" w:rsidR="002D52D7" w:rsidRDefault="002D52D7" w:rsidP="006563EB">
      <w:pPr>
        <w:pStyle w:val="Text"/>
        <w:numPr>
          <w:ilvl w:val="0"/>
          <w:numId w:val="50"/>
        </w:numPr>
      </w:pPr>
      <w:r>
        <w:t>Not surprisingly, starting out in a low-skill job yields lower wages than starting out in a higher-skilled job. Five years after leaving full-time education, the wage penalty still exists, but this scarring diminishes over time. However, any job is better than no job</w:t>
      </w:r>
      <w:r w:rsidR="00E82621">
        <w:t>:</w:t>
      </w:r>
      <w:r>
        <w:t xml:space="preserve"> the wage penalty after five years of having no job a year after leaving full-time education is worse than taking a low-skill job.</w:t>
      </w:r>
    </w:p>
    <w:p w14:paraId="2419D797" w14:textId="45479FB1" w:rsidR="002D52D7" w:rsidRDefault="002D52D7" w:rsidP="006563EB">
      <w:pPr>
        <w:pStyle w:val="Text"/>
        <w:numPr>
          <w:ilvl w:val="0"/>
          <w:numId w:val="50"/>
        </w:numPr>
      </w:pPr>
      <w:r>
        <w:t>Again, not surprisingly, young people who possess high human capital (education, ability and experience) have more opportunities to move to a high-skill job. Males are more likely to make the transition to high-skill jobs than females. Young people who are part-time workers are likely to remain in low-skill jobs, although part-time or casual low-skill jobs can be a positive pathway for young people to progress into full-time or permanent positions.</w:t>
      </w:r>
    </w:p>
    <w:p w14:paraId="0E707494" w14:textId="77777777" w:rsidR="002D52D7" w:rsidRDefault="002D52D7" w:rsidP="006563EB">
      <w:pPr>
        <w:pStyle w:val="Text"/>
        <w:numPr>
          <w:ilvl w:val="0"/>
          <w:numId w:val="50"/>
        </w:numPr>
      </w:pPr>
      <w:r>
        <w:t>There is no evidence to suggest that young people choose to stay in low-skill jobs for positive reasons such as high job satisfaction or relatively high wages.</w:t>
      </w:r>
    </w:p>
    <w:p w14:paraId="0B351880" w14:textId="77777777" w:rsidR="002D52D7" w:rsidRDefault="002D52D7" w:rsidP="002D52D7">
      <w:pPr>
        <w:pStyle w:val="Heading2"/>
      </w:pPr>
      <w:bookmarkStart w:id="46" w:name="_Toc15048881"/>
      <w:bookmarkStart w:id="47" w:name="_Toc19803893"/>
      <w:r>
        <w:t>Aspirations and social capital</w:t>
      </w:r>
      <w:bookmarkEnd w:id="46"/>
      <w:bookmarkEnd w:id="47"/>
    </w:p>
    <w:p w14:paraId="0EF9ABF6" w14:textId="77777777" w:rsidR="002D52D7" w:rsidRDefault="002D52D7" w:rsidP="006563EB">
      <w:pPr>
        <w:pStyle w:val="Text"/>
      </w:pPr>
      <w:r>
        <w:t xml:space="preserve">Most would accept that </w:t>
      </w:r>
      <w:proofErr w:type="gramStart"/>
      <w:r>
        <w:t>having aspirations</w:t>
      </w:r>
      <w:proofErr w:type="gramEnd"/>
      <w:r>
        <w:t xml:space="preserve"> and a high level of social capital are important factors behind success in life. From a policy point of view, what counts is how aspirations and social capital can be promoted for those from a disadvantaged background. </w:t>
      </w:r>
      <w:r>
        <w:rPr>
          <w:i/>
        </w:rPr>
        <w:t xml:space="preserve">The factors </w:t>
      </w:r>
      <w:r>
        <w:rPr>
          <w:i/>
        </w:rPr>
        <w:lastRenderedPageBreak/>
        <w:t>affecting the educational and occupational aspirations of young Australians</w:t>
      </w:r>
      <w:r>
        <w:t xml:space="preserve"> (</w:t>
      </w:r>
      <w:proofErr w:type="spellStart"/>
      <w:r>
        <w:t>Gemici</w:t>
      </w:r>
      <w:proofErr w:type="spellEnd"/>
      <w:r>
        <w:t xml:space="preserve"> et al. 2014) shows just how important parents and peers are to young people’s aspirations:</w:t>
      </w:r>
    </w:p>
    <w:p w14:paraId="1B46BE75" w14:textId="77777777" w:rsidR="002D52D7" w:rsidRDefault="002D52D7" w:rsidP="006563EB">
      <w:pPr>
        <w:pStyle w:val="Text"/>
        <w:numPr>
          <w:ilvl w:val="0"/>
          <w:numId w:val="51"/>
        </w:numPr>
      </w:pPr>
      <w:r>
        <w:t>The most influential factors for students’ aspirations for completing Year 12 include their academic performance and immigration background and whether their parents expect them to go to university.</w:t>
      </w:r>
    </w:p>
    <w:p w14:paraId="040549ED" w14:textId="5CEA64F6" w:rsidR="002D52D7" w:rsidRDefault="002D52D7" w:rsidP="006563EB">
      <w:pPr>
        <w:pStyle w:val="Text"/>
        <w:numPr>
          <w:ilvl w:val="0"/>
          <w:numId w:val="51"/>
        </w:numPr>
      </w:pPr>
      <w:r>
        <w:t xml:space="preserve">Students whose parents want them to attend university are four times more likely to </w:t>
      </w:r>
      <w:r w:rsidR="00FF1F3D">
        <w:t xml:space="preserve">plan to </w:t>
      </w:r>
      <w:r>
        <w:t>complete Year 12 and 11 times more likely to plan to attend university compared with those whose parents expect them to choose a non-university pathway</w:t>
      </w:r>
      <w:r w:rsidR="00E30EDF">
        <w:t xml:space="preserve"> </w:t>
      </w:r>
      <w:r w:rsidR="00E30EDF" w:rsidRPr="00E30EDF">
        <w:rPr>
          <w:rStyle w:val="FootnoteReference"/>
          <w:vertAlign w:val="superscript"/>
        </w:rPr>
        <w:footnoteReference w:id="2"/>
      </w:r>
      <w:r>
        <w:t>.</w:t>
      </w:r>
    </w:p>
    <w:p w14:paraId="59F1BE25" w14:textId="77777777" w:rsidR="002D52D7" w:rsidRDefault="002D52D7" w:rsidP="006563EB">
      <w:pPr>
        <w:pStyle w:val="Text"/>
        <w:numPr>
          <w:ilvl w:val="0"/>
          <w:numId w:val="51"/>
        </w:numPr>
      </w:pPr>
      <w:r>
        <w:t>The higher education plans of peers also have a strong influence: students whose friends plan to attend university are nearly four times more likely to plan to attend university.</w:t>
      </w:r>
    </w:p>
    <w:p w14:paraId="2A18825C" w14:textId="77777777" w:rsidR="002D52D7" w:rsidRDefault="002D52D7" w:rsidP="006563EB">
      <w:pPr>
        <w:pStyle w:val="Text"/>
        <w:numPr>
          <w:ilvl w:val="0"/>
          <w:numId w:val="51"/>
        </w:numPr>
      </w:pPr>
      <w:r>
        <w:t>Two of the strongest predictors of occupational aspirations are parental influences and academic performance.</w:t>
      </w:r>
    </w:p>
    <w:p w14:paraId="094DD300" w14:textId="433510C5" w:rsidR="002D52D7" w:rsidRDefault="002D52D7" w:rsidP="006563EB">
      <w:pPr>
        <w:pStyle w:val="Text"/>
      </w:pPr>
      <w:r>
        <w:t>One interesting finding is that the job aspirations of 15-year-olds are somewhat unrealistic. By age 25 years, the age until which data are available for analys</w:t>
      </w:r>
      <w:r w:rsidR="00902F84">
        <w:t>i</w:t>
      </w:r>
      <w:r>
        <w:t>s, a significant portion of young people fall short of what they set out to achieve in terms of occupation.</w:t>
      </w:r>
    </w:p>
    <w:p w14:paraId="09A456BC" w14:textId="77777777" w:rsidR="002D52D7" w:rsidRDefault="002D52D7" w:rsidP="006563EB">
      <w:pPr>
        <w:pStyle w:val="Text"/>
      </w:pPr>
      <w:r>
        <w:t>From a policy point of view the findings throw out a challenge. How can the view of parents with low aspirations for their children be influenced?</w:t>
      </w:r>
    </w:p>
    <w:p w14:paraId="00A01276" w14:textId="58C45CDC" w:rsidR="002D52D7" w:rsidRDefault="002D52D7" w:rsidP="006563EB">
      <w:pPr>
        <w:pStyle w:val="Text"/>
      </w:pPr>
      <w:r>
        <w:t xml:space="preserve">In recent times social capital has received considerable attention because it is seen as having the potential to address many of the problems facing modern society, including the poor educational outcomes of considerable numbers of young people. </w:t>
      </w:r>
      <w:r>
        <w:rPr>
          <w:i/>
        </w:rPr>
        <w:t>Social capital and youth transitions: do young people’s networks improve their participation in education and training?</w:t>
      </w:r>
      <w:r>
        <w:t xml:space="preserve"> (Semo &amp; Karmel 2011) explores the relationship between social capital at age 15 </w:t>
      </w:r>
      <w:r w:rsidR="00C51F5C">
        <w:t xml:space="preserve">years </w:t>
      </w:r>
      <w:r>
        <w:t>and participation in education and training at age 17</w:t>
      </w:r>
      <w:r w:rsidR="00C51F5C">
        <w:t xml:space="preserve"> years</w:t>
      </w:r>
      <w:r>
        <w:t>. The issue is whether social capital is yet another factor which advantages the already advantaged, or whether social capital operates separately from family background. We found</w:t>
      </w:r>
      <w:r w:rsidR="00AE2161">
        <w:t xml:space="preserve"> that</w:t>
      </w:r>
      <w:r>
        <w:t>:</w:t>
      </w:r>
    </w:p>
    <w:p w14:paraId="17F0FA22" w14:textId="77777777" w:rsidR="002D52D7" w:rsidRDefault="002D52D7" w:rsidP="006563EB">
      <w:pPr>
        <w:pStyle w:val="Text"/>
        <w:numPr>
          <w:ilvl w:val="0"/>
          <w:numId w:val="52"/>
        </w:numPr>
      </w:pPr>
      <w:r>
        <w:t xml:space="preserve">Social capital influences educational participation </w:t>
      </w:r>
      <w:r>
        <w:rPr>
          <w:i/>
        </w:rPr>
        <w:t>over and above</w:t>
      </w:r>
      <w:r>
        <w:t xml:space="preserve"> the effects of background characteristics such as parents’ education levels, parental occupation, geographic location, cultural background, school sector and academic achievement.</w:t>
      </w:r>
    </w:p>
    <w:p w14:paraId="12B8A5D9" w14:textId="77777777" w:rsidR="002D52D7" w:rsidRDefault="002D52D7" w:rsidP="006563EB">
      <w:pPr>
        <w:pStyle w:val="Text"/>
        <w:numPr>
          <w:ilvl w:val="0"/>
          <w:numId w:val="52"/>
        </w:numPr>
      </w:pPr>
      <w:r>
        <w:t>For both males and females, participation in a diverse range of activities has the greatest influence on participation in education and training, followed by the strength of the relationship students have with their teachers. Increasing rates of participation in sport also increase educational participation for females.</w:t>
      </w:r>
    </w:p>
    <w:p w14:paraId="50BF3D5A" w14:textId="637CC855" w:rsidR="002D52D7" w:rsidRDefault="002D52D7" w:rsidP="006563EB">
      <w:pPr>
        <w:pStyle w:val="Text"/>
      </w:pPr>
      <w:r>
        <w:t>The finding that social capital matters for school education is a very positive one</w:t>
      </w:r>
      <w:r w:rsidR="00143049">
        <w:t>: i</w:t>
      </w:r>
      <w:r>
        <w:t>t implies that activities that promote and encourage engagement at school can go some way to redressing economic and social disadvantage.</w:t>
      </w:r>
    </w:p>
    <w:p w14:paraId="53A17AC7" w14:textId="77777777" w:rsidR="002D52D7" w:rsidRDefault="002D52D7" w:rsidP="002D52D7">
      <w:pPr>
        <w:pStyle w:val="Heading2"/>
      </w:pPr>
      <w:bookmarkStart w:id="48" w:name="_Toc15048882"/>
      <w:bookmarkStart w:id="49" w:name="_Toc19803894"/>
      <w:r>
        <w:lastRenderedPageBreak/>
        <w:t>Effect of schools</w:t>
      </w:r>
      <w:bookmarkEnd w:id="48"/>
      <w:bookmarkEnd w:id="49"/>
    </w:p>
    <w:p w14:paraId="74EFF49D" w14:textId="5048574F" w:rsidR="002D52D7" w:rsidRDefault="008D6D1F" w:rsidP="006563EB">
      <w:pPr>
        <w:pStyle w:val="Text"/>
      </w:pPr>
      <w:r>
        <w:t>Most</w:t>
      </w:r>
      <w:r w:rsidR="002D52D7">
        <w:t xml:space="preserve"> of</w:t>
      </w:r>
      <w:r>
        <w:t xml:space="preserve"> the</w:t>
      </w:r>
      <w:r w:rsidR="002D52D7">
        <w:t xml:space="preserve"> research based on LSAY, including </w:t>
      </w:r>
      <w:proofErr w:type="gramStart"/>
      <w:r w:rsidR="002D52D7">
        <w:t xml:space="preserve">all </w:t>
      </w:r>
      <w:r w:rsidR="00E31FED">
        <w:t>of</w:t>
      </w:r>
      <w:proofErr w:type="gramEnd"/>
      <w:r w:rsidR="00E31FED">
        <w:t xml:space="preserve"> </w:t>
      </w:r>
      <w:r w:rsidR="002D52D7">
        <w:t>the papers mentioned above, tends to be at the individual level, with controls pertaining to academic achievement at age 15</w:t>
      </w:r>
      <w:r w:rsidR="00E31FED">
        <w:t xml:space="preserve"> years</w:t>
      </w:r>
      <w:r w:rsidR="002D52D7">
        <w:t xml:space="preserve"> and socioeconomic characteristics. However, LSAY also collects data on a range of school characteristics. This provides the opportunity to disentangle the impact of the school from the characteristics of the student.</w:t>
      </w:r>
    </w:p>
    <w:p w14:paraId="34882073" w14:textId="1275C435" w:rsidR="002D52D7" w:rsidRDefault="002D52D7" w:rsidP="006563EB">
      <w:pPr>
        <w:pStyle w:val="Text"/>
      </w:pPr>
      <w:r>
        <w:rPr>
          <w:i/>
        </w:rPr>
        <w:t>The impact of schools on young people’s transition to university</w:t>
      </w:r>
      <w:r>
        <w:t xml:space="preserve"> (</w:t>
      </w:r>
      <w:proofErr w:type="spellStart"/>
      <w:r>
        <w:t>Gemici</w:t>
      </w:r>
      <w:proofErr w:type="spellEnd"/>
      <w:r>
        <w:t xml:space="preserve">, Lim &amp; </w:t>
      </w:r>
      <w:proofErr w:type="spellStart"/>
      <w:r>
        <w:t>Karmel</w:t>
      </w:r>
      <w:proofErr w:type="spellEnd"/>
      <w:r>
        <w:t xml:space="preserve"> 2013) exploits this feature of LSAY to investigate the impact of schools on tertiary entrance rank and the probability of going to university.</w:t>
      </w:r>
    </w:p>
    <w:p w14:paraId="6551A787" w14:textId="77777777" w:rsidR="002D52D7" w:rsidRDefault="002D52D7" w:rsidP="006563EB">
      <w:pPr>
        <w:pStyle w:val="Text"/>
      </w:pPr>
      <w:r>
        <w:t>The main findings were:</w:t>
      </w:r>
    </w:p>
    <w:p w14:paraId="0894D863" w14:textId="77777777" w:rsidR="002D52D7" w:rsidRDefault="002D52D7" w:rsidP="006563EB">
      <w:pPr>
        <w:pStyle w:val="Text"/>
      </w:pPr>
      <w:r>
        <w:t xml:space="preserve">The attributes of schools </w:t>
      </w:r>
      <w:r>
        <w:rPr>
          <w:i/>
        </w:rPr>
        <w:t>do</w:t>
      </w:r>
      <w:r>
        <w:t xml:space="preserve"> matter. Although young people’s individual characteristics are the main drivers of success, school attributes are responsible for almost 20% of the variation in TER.</w:t>
      </w:r>
    </w:p>
    <w:p w14:paraId="513E087C" w14:textId="67F86E3D" w:rsidR="002D52D7" w:rsidRDefault="002D52D7" w:rsidP="006563EB">
      <w:pPr>
        <w:pStyle w:val="Text"/>
        <w:numPr>
          <w:ilvl w:val="0"/>
          <w:numId w:val="53"/>
        </w:numPr>
      </w:pPr>
      <w:r>
        <w:t xml:space="preserve">Of the variation in TER attributed to schools, the measured characteristics account for a little over a third. The remainder captures ‘idiosyncratic’ school factors that cannot be explained by the </w:t>
      </w:r>
      <w:r w:rsidR="009F14F8">
        <w:t xml:space="preserve">available </w:t>
      </w:r>
      <w:r>
        <w:t>data and that can be thought of as a school’s overall ‘ethos’; no doubt</w:t>
      </w:r>
      <w:r w:rsidR="009F14F8">
        <w:t>,</w:t>
      </w:r>
      <w:r>
        <w:t xml:space="preserve"> teacher quality and educational leadership are important here.</w:t>
      </w:r>
    </w:p>
    <w:p w14:paraId="53D85191" w14:textId="17729C50" w:rsidR="002D52D7" w:rsidRDefault="002D52D7" w:rsidP="006563EB">
      <w:pPr>
        <w:pStyle w:val="Text"/>
        <w:numPr>
          <w:ilvl w:val="0"/>
          <w:numId w:val="53"/>
        </w:numPr>
      </w:pPr>
      <w:r>
        <w:t>The three most important school attributes for TER are sector (that is, Catholic and independent vs government), gender mix (that is, single-sex vs co-educational) and the extent to which a school is ‘academic’. For TER, the average socioeconomic status of students at a school does not emerge as a significant factor, after controlling for individual characteristics</w:t>
      </w:r>
      <w:r w:rsidR="00335B2D">
        <w:t>,</w:t>
      </w:r>
      <w:r>
        <w:t xml:space="preserve"> including academic achievement from the PISA test.</w:t>
      </w:r>
    </w:p>
    <w:p w14:paraId="2CBDFD52" w14:textId="6A871162" w:rsidR="002D52D7" w:rsidRDefault="002D52D7" w:rsidP="006563EB">
      <w:pPr>
        <w:pStyle w:val="Text"/>
        <w:numPr>
          <w:ilvl w:val="0"/>
          <w:numId w:val="53"/>
        </w:numPr>
      </w:pPr>
      <w:r>
        <w:t xml:space="preserve">However, the characteristics of schools do matter for the probability of going to university, even after controlling for TER. Here, the three most important school attributes are the proportion of students from non-English speaking backgrounds, </w:t>
      </w:r>
      <w:r w:rsidR="00335B2D">
        <w:t xml:space="preserve">school </w:t>
      </w:r>
      <w:r>
        <w:t>sector, and the school’s socioeconomic make-up.</w:t>
      </w:r>
    </w:p>
    <w:p w14:paraId="0FABFDDF" w14:textId="77777777" w:rsidR="002D52D7" w:rsidRDefault="002D52D7" w:rsidP="000E2026">
      <w:pPr>
        <w:pStyle w:val="Text"/>
      </w:pPr>
      <w:r>
        <w:t>The paper also constructs distributions of school performance (in relation to TER and the probability of going to university), which control for individual characteristics. The differences between high-performing and low-performing schools are sizeable. There is also considerable variation within school sectors, with the government sector having more than its share of low-performing schools.</w:t>
      </w:r>
    </w:p>
    <w:p w14:paraId="543707A3" w14:textId="48C08AAD" w:rsidR="002D52D7" w:rsidRDefault="002D52D7" w:rsidP="000E2026">
      <w:pPr>
        <w:pStyle w:val="Text"/>
      </w:pPr>
      <w:r>
        <w:t xml:space="preserve">A second paper, </w:t>
      </w:r>
      <w:r>
        <w:rPr>
          <w:i/>
        </w:rPr>
        <w:t>The impact of school academic quality on low socioeconomic</w:t>
      </w:r>
      <w:r w:rsidR="00967798">
        <w:rPr>
          <w:i/>
        </w:rPr>
        <w:t xml:space="preserve"> status</w:t>
      </w:r>
      <w:r>
        <w:rPr>
          <w:i/>
        </w:rPr>
        <w:t xml:space="preserve"> students </w:t>
      </w:r>
      <w:r>
        <w:t xml:space="preserve">(Lim, </w:t>
      </w:r>
      <w:proofErr w:type="spellStart"/>
      <w:r>
        <w:t>Gemici</w:t>
      </w:r>
      <w:proofErr w:type="spellEnd"/>
      <w:r>
        <w:t xml:space="preserve"> &amp; </w:t>
      </w:r>
      <w:proofErr w:type="spellStart"/>
      <w:r>
        <w:t>Karmel</w:t>
      </w:r>
      <w:proofErr w:type="spellEnd"/>
      <w:r>
        <w:t xml:space="preserve"> 2013), builds on the measure of school quality derived in the first paper and explores whether students from low socioeconomic backgrounds benefit to a greater or lesser extent from attending high-quality schools when compared with their more advantaged peers. The main findings were:</w:t>
      </w:r>
    </w:p>
    <w:p w14:paraId="5E2CD7D2" w14:textId="77777777" w:rsidR="002D52D7" w:rsidRDefault="002D52D7" w:rsidP="006563EB">
      <w:pPr>
        <w:pStyle w:val="Text"/>
        <w:numPr>
          <w:ilvl w:val="0"/>
          <w:numId w:val="54"/>
        </w:numPr>
      </w:pPr>
      <w:r>
        <w:t>Academic school quality has a considerable differential effect on school completion for those who come from the lowest socioeconomic band. It also has a differential effect for those with low academic achievement at age 15 years.</w:t>
      </w:r>
    </w:p>
    <w:p w14:paraId="79608ACC" w14:textId="77777777" w:rsidR="002D52D7" w:rsidRDefault="002D52D7" w:rsidP="006563EB">
      <w:pPr>
        <w:pStyle w:val="Text"/>
        <w:numPr>
          <w:ilvl w:val="0"/>
          <w:numId w:val="54"/>
        </w:numPr>
      </w:pPr>
      <w:r>
        <w:t>A differential effect is also seen in relation to the impact of academic school quality on tertiary entrance rank and the probability of going to university.</w:t>
      </w:r>
    </w:p>
    <w:p w14:paraId="07B9A973" w14:textId="77777777" w:rsidR="002D52D7" w:rsidRDefault="002D52D7" w:rsidP="006563EB">
      <w:pPr>
        <w:pStyle w:val="Text"/>
        <w:numPr>
          <w:ilvl w:val="0"/>
          <w:numId w:val="54"/>
        </w:numPr>
      </w:pPr>
      <w:r>
        <w:lastRenderedPageBreak/>
        <w:t>Coming from a high socioeconomic background insulates students from early school leaving, even if they are weak performers and attend a non-academic school.</w:t>
      </w:r>
    </w:p>
    <w:p w14:paraId="78A665A2" w14:textId="77777777" w:rsidR="002D52D7" w:rsidRDefault="002D52D7" w:rsidP="006563EB">
      <w:pPr>
        <w:pStyle w:val="Text"/>
      </w:pPr>
      <w:r>
        <w:t>The conclusion is that the quality of the school matters and that students from a low socioeconomic background benefit even more from attending a school of high academic quality than do those from a high socioeconomic background.</w:t>
      </w:r>
    </w:p>
    <w:p w14:paraId="2295F549" w14:textId="77777777" w:rsidR="002D52D7" w:rsidRDefault="002D52D7" w:rsidP="002D52D7">
      <w:pPr>
        <w:pStyle w:val="Heading2"/>
      </w:pPr>
      <w:bookmarkStart w:id="50" w:name="_Toc15048883"/>
      <w:bookmarkStart w:id="51" w:name="_Toc19803895"/>
      <w:r>
        <w:t>Final comment</w:t>
      </w:r>
      <w:bookmarkEnd w:id="50"/>
      <w:bookmarkEnd w:id="51"/>
    </w:p>
    <w:p w14:paraId="6DEFA7B1" w14:textId="62275574" w:rsidR="002D52D7" w:rsidRDefault="002D52D7" w:rsidP="006563EB">
      <w:pPr>
        <w:pStyle w:val="Text"/>
      </w:pPr>
      <w:r>
        <w:t xml:space="preserve">The </w:t>
      </w:r>
      <w:r w:rsidR="006E036B">
        <w:t>10</w:t>
      </w:r>
      <w:r>
        <w:t xml:space="preserve"> papers I have covered demonstrate the value of LSAY. Its longitudinal nature, rich set of background characteristics, measures of academic achievement, and collection of school characteristics enable it to be used to address difficult questions. And the coverage of different cohorts over a long time period means that policy and structural changes can be examined. Finally, there is no doubting its policy relevance</w:t>
      </w:r>
      <w:r w:rsidR="009168E7">
        <w:t>:</w:t>
      </w:r>
      <w:r>
        <w:t xml:space="preserve"> all the papers I covered look at issues which matter to policymakers.</w:t>
      </w:r>
    </w:p>
    <w:p w14:paraId="1E0117A8" w14:textId="228DE0BD" w:rsidR="002D52D7" w:rsidRDefault="002D52D7" w:rsidP="006563EB">
      <w:pPr>
        <w:pStyle w:val="Text"/>
      </w:pPr>
      <w:r>
        <w:t xml:space="preserve">In some </w:t>
      </w:r>
      <w:r w:rsidR="005324B8">
        <w:t>cases,</w:t>
      </w:r>
      <w:r>
        <w:t xml:space="preserve"> the findings reinforce what could be described as stylised facts</w:t>
      </w:r>
      <w:r w:rsidR="009168E7">
        <w:t>;</w:t>
      </w:r>
      <w:r>
        <w:t xml:space="preserve"> for example, the importance of socioeconomic status</w:t>
      </w:r>
      <w:r w:rsidR="0079001C">
        <w:t>,</w:t>
      </w:r>
      <w:r>
        <w:t xml:space="preserve"> but in many </w:t>
      </w:r>
      <w:r w:rsidR="0079001C">
        <w:t>instances</w:t>
      </w:r>
      <w:r>
        <w:t xml:space="preserve"> the analysis throws light on </w:t>
      </w:r>
      <w:r w:rsidR="0079001C">
        <w:t>issues</w:t>
      </w:r>
      <w:r>
        <w:t xml:space="preserve"> that we know little about. Some of the findings are surprising, some not. Even in the latter case, this type of analysis using LSAY is very useful because it enables quantification of effects. Something may be blindingly obvious, but it is important to know how important the ‘obvious’ is. The analysis also enables us to tease out relationships. The world is complicated and LSAY enables us to understand some of the complexities. What is true for one group of people may not hold for others.</w:t>
      </w:r>
    </w:p>
    <w:p w14:paraId="2AF5404E" w14:textId="637D1F5E" w:rsidR="002D52D7" w:rsidRDefault="002D52D7" w:rsidP="006563EB">
      <w:pPr>
        <w:pStyle w:val="Text"/>
      </w:pPr>
      <w:r>
        <w:t xml:space="preserve">Some findings may be controversial. For example, I suspect that some people were not pleased with our findings that VET in </w:t>
      </w:r>
      <w:r w:rsidR="00847375">
        <w:t>S</w:t>
      </w:r>
      <w:r>
        <w:t>chool</w:t>
      </w:r>
      <w:r w:rsidR="00847375">
        <w:t>s</w:t>
      </w:r>
      <w:r>
        <w:t xml:space="preserve"> programs did not increase Year 12 retention or that VET certificates were not equivalent in any useful sense to completion of Year 12. But that is what is interesting about empirical research.</w:t>
      </w:r>
    </w:p>
    <w:p w14:paraId="1DB0B3A0" w14:textId="1CF946B7" w:rsidR="002D52D7" w:rsidRPr="00FF5158" w:rsidRDefault="002D52D7" w:rsidP="006563EB">
      <w:pPr>
        <w:pStyle w:val="Text"/>
      </w:pPr>
      <w:r>
        <w:t xml:space="preserve">LSAY of course has its limitations. One often </w:t>
      </w:r>
      <w:r w:rsidR="00847375">
        <w:t>highlighted</w:t>
      </w:r>
      <w:r>
        <w:t xml:space="preserve"> is the extent of sample attrition. My view is that it limits the use of LSAY to underpin estimates of the numbers of people with </w:t>
      </w:r>
      <w:proofErr w:type="gramStart"/>
      <w:r>
        <w:t>particular characteristics</w:t>
      </w:r>
      <w:proofErr w:type="gramEnd"/>
      <w:r w:rsidR="00A42C71">
        <w:t xml:space="preserve"> </w:t>
      </w:r>
      <w:r>
        <w:t xml:space="preserve">but does not matter too much for the multivariate analysis of the type </w:t>
      </w:r>
      <w:r w:rsidR="00BE42B9">
        <w:t xml:space="preserve">with </w:t>
      </w:r>
      <w:r>
        <w:t>which I have mostly been involved. Conditioning on background characteristics largely looks after the fact that attrition is not random (the less successful tend to drop out from the survey). A second limitation, which is difficult to overcome, is the fact that cohorts are no</w:t>
      </w:r>
      <w:r w:rsidR="00FF1F3D">
        <w:t>t</w:t>
      </w:r>
      <w:r>
        <w:t xml:space="preserve"> surveyed after the age of 25 years. What we really want to know is the effect of education and early transitions on adults over their lives, and 25 years old is too young to measure this, especially as the typical length of education continues to increase. Putting that to one side, however, there is no doubt about the utility of the LSAY program. And as I pointed out in Karmel (2013)</w:t>
      </w:r>
      <w:r w:rsidR="00E94BF7">
        <w:t>,</w:t>
      </w:r>
      <w:r>
        <w:t xml:space="preserve"> we will never have found out all there is to know, for the simple reason that each cohort of young people faces an ever</w:t>
      </w:r>
      <w:r w:rsidR="00E94BF7">
        <w:t>-</w:t>
      </w:r>
      <w:r>
        <w:t>changing world.</w:t>
      </w:r>
    </w:p>
    <w:p w14:paraId="38FC0D88" w14:textId="77777777" w:rsidR="00740088" w:rsidRDefault="00740088" w:rsidP="002D52D7">
      <w:pPr>
        <w:pStyle w:val="Heading2"/>
        <w:sectPr w:rsidR="00740088" w:rsidSect="002F0955">
          <w:footerReference w:type="even" r:id="rId31"/>
          <w:footerReference w:type="default" r:id="rId32"/>
          <w:type w:val="continuous"/>
          <w:pgSz w:w="11907" w:h="16840" w:code="9"/>
          <w:pgMar w:top="1276" w:right="2552" w:bottom="851" w:left="1418" w:header="709" w:footer="38" w:gutter="0"/>
          <w:cols w:space="708"/>
          <w:docGrid w:linePitch="360"/>
        </w:sectPr>
      </w:pPr>
    </w:p>
    <w:p w14:paraId="1EE7B8F3" w14:textId="771D4564" w:rsidR="002D52D7" w:rsidRDefault="002D52D7" w:rsidP="00FB751C">
      <w:pPr>
        <w:pStyle w:val="Heading2"/>
        <w:spacing w:before="0" w:after="240"/>
      </w:pPr>
      <w:bookmarkStart w:id="52" w:name="_Toc15048884"/>
      <w:bookmarkStart w:id="53" w:name="_Toc19803896"/>
      <w:r>
        <w:lastRenderedPageBreak/>
        <w:t>References</w:t>
      </w:r>
      <w:bookmarkEnd w:id="52"/>
      <w:bookmarkEnd w:id="53"/>
    </w:p>
    <w:p w14:paraId="3AAF021E" w14:textId="77777777" w:rsidR="002D52D7" w:rsidRPr="00304816" w:rsidRDefault="002D52D7" w:rsidP="00FB751C">
      <w:pPr>
        <w:pStyle w:val="References"/>
      </w:pPr>
      <w:r>
        <w:t xml:space="preserve">Anlezark, A, Karmel, T &amp; Ong, K 2006, </w:t>
      </w:r>
      <w:r w:rsidRPr="007B0FD9">
        <w:rPr>
          <w:i/>
        </w:rPr>
        <w:t>Have school vocational education and training programs been successful?</w:t>
      </w:r>
      <w:r>
        <w:t>, NCVER, Adelaide.</w:t>
      </w:r>
    </w:p>
    <w:p w14:paraId="16C7955C" w14:textId="1A7B881A" w:rsidR="00863311" w:rsidRDefault="008D6D1F" w:rsidP="00FB751C">
      <w:pPr>
        <w:pStyle w:val="References"/>
      </w:pPr>
      <w:r>
        <w:t>ABS (</w:t>
      </w:r>
      <w:r w:rsidR="00863311">
        <w:t>Australian Bureau of Statistics</w:t>
      </w:r>
      <w:r>
        <w:t>)</w:t>
      </w:r>
      <w:r w:rsidR="00863311">
        <w:t xml:space="preserve"> 2019</w:t>
      </w:r>
      <w:r w:rsidR="005B08DD">
        <w:t xml:space="preserve">, </w:t>
      </w:r>
      <w:r w:rsidR="005B08DD" w:rsidRPr="007B0FD9">
        <w:rPr>
          <w:i/>
        </w:rPr>
        <w:t xml:space="preserve">Labour </w:t>
      </w:r>
      <w:r w:rsidR="00E94BF7" w:rsidRPr="00F53A4B">
        <w:rPr>
          <w:i/>
          <w:iCs/>
        </w:rPr>
        <w:t>f</w:t>
      </w:r>
      <w:r w:rsidR="005B08DD" w:rsidRPr="00F53A4B">
        <w:rPr>
          <w:i/>
          <w:iCs/>
        </w:rPr>
        <w:t>orce</w:t>
      </w:r>
      <w:r w:rsidR="005206E9">
        <w:rPr>
          <w:iCs/>
        </w:rPr>
        <w:t xml:space="preserve"> (table 3),</w:t>
      </w:r>
      <w:r w:rsidR="005B08DD">
        <w:t xml:space="preserve"> cat</w:t>
      </w:r>
      <w:r w:rsidR="00E94BF7">
        <w:t>.</w:t>
      </w:r>
      <w:r w:rsidR="005B08DD">
        <w:t>no.6291.0.55.001, &lt;</w:t>
      </w:r>
      <w:r w:rsidR="005B08DD" w:rsidRPr="005B08DD">
        <w:t>https://www.abs.gov.au/AUSSTATS/abs@.nsf/DetailsPage/6291.0.55.001Dec%202018?OpenDocument</w:t>
      </w:r>
      <w:r w:rsidR="00F53A4B">
        <w:t>&gt;.</w:t>
      </w:r>
    </w:p>
    <w:p w14:paraId="48043E5E" w14:textId="0DD0803B" w:rsidR="002D52D7" w:rsidRDefault="002D52D7" w:rsidP="00FB751C">
      <w:pPr>
        <w:pStyle w:val="References"/>
      </w:pPr>
      <w:r>
        <w:t xml:space="preserve">Bradley, D, Noonan, P, Nugent, H &amp; Scales, B 2008, </w:t>
      </w:r>
      <w:r w:rsidRPr="007B0FD9">
        <w:rPr>
          <w:i/>
        </w:rPr>
        <w:t>Review of Australian higher education: final report</w:t>
      </w:r>
      <w:r w:rsidR="00277DDC" w:rsidRPr="00F53A4B">
        <w:t xml:space="preserve">, the </w:t>
      </w:r>
      <w:r w:rsidRPr="00F53A4B">
        <w:t>Bradley review</w:t>
      </w:r>
      <w:r>
        <w:t>, D</w:t>
      </w:r>
      <w:r w:rsidR="00F53A4B">
        <w:t xml:space="preserve">epartment of </w:t>
      </w:r>
      <w:r w:rsidR="00934455">
        <w:t xml:space="preserve">Education, Employment and Workplace </w:t>
      </w:r>
      <w:r w:rsidR="00187B11">
        <w:t xml:space="preserve">Relations, </w:t>
      </w:r>
      <w:r>
        <w:t>Canberra.</w:t>
      </w:r>
    </w:p>
    <w:p w14:paraId="65D981D3" w14:textId="53AB79B0" w:rsidR="002D52D7" w:rsidRDefault="002D52D7" w:rsidP="00FB751C">
      <w:pPr>
        <w:pStyle w:val="References"/>
      </w:pPr>
      <w:proofErr w:type="spellStart"/>
      <w:r>
        <w:t>Gemici</w:t>
      </w:r>
      <w:proofErr w:type="spellEnd"/>
      <w:r>
        <w:t xml:space="preserve">, S, </w:t>
      </w:r>
      <w:proofErr w:type="spellStart"/>
      <w:r>
        <w:t>Bednarz</w:t>
      </w:r>
      <w:proofErr w:type="spellEnd"/>
      <w:r>
        <w:t xml:space="preserve">, A, Karmel, T &amp; Lim, P 2014, </w:t>
      </w:r>
      <w:r w:rsidRPr="007B0FD9">
        <w:rPr>
          <w:i/>
        </w:rPr>
        <w:t>The factors affecting the educational and occupational aspirations of young Australians</w:t>
      </w:r>
      <w:r>
        <w:t>, LSAY research report no.66, NCVER, Adelaide, &lt;http://www.lsay.edu.au/pub</w:t>
      </w:r>
      <w:r w:rsidR="00BB6A67">
        <w:t>l</w:t>
      </w:r>
      <w:r>
        <w:t>ications/2711.html&gt;.</w:t>
      </w:r>
    </w:p>
    <w:p w14:paraId="64566826" w14:textId="2BE9AC46" w:rsidR="002D52D7" w:rsidRPr="000E167F" w:rsidRDefault="002D52D7" w:rsidP="00FB751C">
      <w:pPr>
        <w:pStyle w:val="References"/>
      </w:pPr>
      <w:proofErr w:type="spellStart"/>
      <w:r>
        <w:t>Gemici</w:t>
      </w:r>
      <w:proofErr w:type="spellEnd"/>
      <w:r>
        <w:t xml:space="preserve">, S, Lim, P &amp; Karmel, T 2013, </w:t>
      </w:r>
      <w:r w:rsidRPr="007B0FD9">
        <w:rPr>
          <w:i/>
        </w:rPr>
        <w:t>The impact of schools on young people’s transition to university</w:t>
      </w:r>
      <w:r>
        <w:t>, LSAY research report no.61, NCVER, Adelaide,</w:t>
      </w:r>
      <w:r w:rsidR="00C92352">
        <w:t xml:space="preserve"> </w:t>
      </w:r>
      <w:r>
        <w:t>&lt;http://www.lsay.edu.au/publications/2541.html&gt;.</w:t>
      </w:r>
    </w:p>
    <w:p w14:paraId="61E6543E" w14:textId="541F5D32" w:rsidR="002D52D7" w:rsidRDefault="002D52D7" w:rsidP="00FB751C">
      <w:pPr>
        <w:pStyle w:val="References"/>
      </w:pPr>
      <w:bookmarkStart w:id="54" w:name="_Hlk10127520"/>
      <w:r>
        <w:t xml:space="preserve">Karmel, T 2013, </w:t>
      </w:r>
      <w:r w:rsidR="00931D95">
        <w:t>‘</w:t>
      </w:r>
      <w:r>
        <w:t>Are we there yet? Overview of the Longitudinal Surveys of Australian Youth</w:t>
      </w:r>
      <w:r w:rsidR="00931D95">
        <w:t>’</w:t>
      </w:r>
      <w:r>
        <w:t>,</w:t>
      </w:r>
      <w:r w:rsidR="00A22B77">
        <w:t xml:space="preserve"> </w:t>
      </w:r>
      <w:r w:rsidR="00931D95">
        <w:t xml:space="preserve">paper </w:t>
      </w:r>
      <w:r w:rsidR="00A22B77">
        <w:t xml:space="preserve">presented at the Longitudinal Surveys of Youth research forum: </w:t>
      </w:r>
      <w:r w:rsidR="00A22B77" w:rsidRPr="007B0FD9">
        <w:rPr>
          <w:i/>
        </w:rPr>
        <w:t>Are We There Yet? Youth Transitions in Australia,</w:t>
      </w:r>
      <w:r w:rsidR="00A22B77">
        <w:t xml:space="preserve"> 11 April 2013, Sydney</w:t>
      </w:r>
      <w:r w:rsidR="00655E5C">
        <w:t xml:space="preserve">, </w:t>
      </w:r>
      <w:r w:rsidR="00A42C71">
        <w:t>&lt;</w:t>
      </w:r>
      <w:r w:rsidR="00A22B77" w:rsidRPr="00A22B77">
        <w:t>https://www.lsay.edu.au/publications/search-for-lsay-publications/2619</w:t>
      </w:r>
      <w:r w:rsidR="00A42C71">
        <w:t>&gt;</w:t>
      </w:r>
      <w:r>
        <w:t>.</w:t>
      </w:r>
    </w:p>
    <w:bookmarkEnd w:id="54"/>
    <w:p w14:paraId="5C3AB194" w14:textId="77777777" w:rsidR="002D52D7" w:rsidRPr="001C0740" w:rsidRDefault="002D52D7" w:rsidP="00FB751C">
      <w:pPr>
        <w:pStyle w:val="References"/>
      </w:pPr>
      <w:r>
        <w:t xml:space="preserve">Karmel, T &amp; Lim, P 2013, </w:t>
      </w:r>
      <w:r w:rsidRPr="007B0FD9">
        <w:rPr>
          <w:i/>
        </w:rPr>
        <w:t>Socioeconomic disadvantage and participation in tertiary education: preliminary thoughts</w:t>
      </w:r>
      <w:r>
        <w:t>, NCVER occasional paper, NCVER, Adelaide.</w:t>
      </w:r>
    </w:p>
    <w:p w14:paraId="52BB598D" w14:textId="23E0FBA7" w:rsidR="002D52D7" w:rsidRPr="0096068C" w:rsidRDefault="002D52D7" w:rsidP="00FB751C">
      <w:pPr>
        <w:pStyle w:val="References"/>
      </w:pPr>
      <w:r>
        <w:t xml:space="preserve">Karmel, T, Lu, T &amp; Oliver, D 2013, </w:t>
      </w:r>
      <w:r w:rsidRPr="007B0FD9">
        <w:rPr>
          <w:i/>
        </w:rPr>
        <w:t>Starting out in low-skill jobs</w:t>
      </w:r>
      <w:r>
        <w:t>, LSAY research report no.64, NCVER, Adelaide, &lt;http://lsay.edu.au/publications/2649.html&gt;.</w:t>
      </w:r>
    </w:p>
    <w:p w14:paraId="78674771" w14:textId="768839D6" w:rsidR="002D52D7" w:rsidRPr="00087377" w:rsidRDefault="002D52D7" w:rsidP="00FB751C">
      <w:pPr>
        <w:pStyle w:val="References"/>
      </w:pPr>
      <w:r>
        <w:t>Karmel, T &amp; Lui, S</w:t>
      </w:r>
      <w:r w:rsidR="00A22B77">
        <w:t xml:space="preserve"> </w:t>
      </w:r>
      <w:r>
        <w:t xml:space="preserve">H 2011, </w:t>
      </w:r>
      <w:r w:rsidRPr="007B0FD9">
        <w:rPr>
          <w:i/>
        </w:rPr>
        <w:t>Which paths work for which young people?,</w:t>
      </w:r>
      <w:r>
        <w:t xml:space="preserve"> LSAY research report no.57, NCVER, Adelaide.</w:t>
      </w:r>
    </w:p>
    <w:p w14:paraId="2D2CB65C" w14:textId="5212322D" w:rsidR="002D52D7" w:rsidRDefault="002D52D7" w:rsidP="00FB751C">
      <w:pPr>
        <w:pStyle w:val="References"/>
      </w:pPr>
      <w:r>
        <w:t xml:space="preserve">Karmel, T, Roberts, D &amp; Lim, P 2014, </w:t>
      </w:r>
      <w:r w:rsidRPr="007B0FD9">
        <w:rPr>
          <w:i/>
        </w:rPr>
        <w:t>The impact of increasing university participation on the pool of apprentices</w:t>
      </w:r>
      <w:r>
        <w:t>, LSAY research report no.67, NCVER, Adelaide, &lt;http://www.lsay.edu.au/publications/2720.html&gt;.</w:t>
      </w:r>
    </w:p>
    <w:p w14:paraId="275CA816" w14:textId="52471D08" w:rsidR="002D52D7" w:rsidRDefault="002D52D7" w:rsidP="00FB751C">
      <w:pPr>
        <w:pStyle w:val="References"/>
      </w:pPr>
      <w:r>
        <w:t xml:space="preserve">Lim, P &amp; </w:t>
      </w:r>
      <w:proofErr w:type="spellStart"/>
      <w:r>
        <w:t>Gemici</w:t>
      </w:r>
      <w:proofErr w:type="spellEnd"/>
      <w:r>
        <w:t xml:space="preserve">, S 2011, </w:t>
      </w:r>
      <w:r w:rsidRPr="007B0FD9">
        <w:rPr>
          <w:i/>
        </w:rPr>
        <w:t>Measuring the socioeconomic status of Australian youth</w:t>
      </w:r>
      <w:r>
        <w:t xml:space="preserve">, </w:t>
      </w:r>
      <w:r w:rsidR="00A42C71">
        <w:t xml:space="preserve">Technical </w:t>
      </w:r>
      <w:r w:rsidR="00931D95">
        <w:t>p</w:t>
      </w:r>
      <w:r w:rsidR="00A42C71">
        <w:t xml:space="preserve">aper, </w:t>
      </w:r>
      <w:r>
        <w:t>NCVER, Adelaide</w:t>
      </w:r>
      <w:r w:rsidR="00A42C71">
        <w:t xml:space="preserve">, </w:t>
      </w:r>
      <w:r w:rsidR="003E491E">
        <w:t>&lt;</w:t>
      </w:r>
      <w:r w:rsidR="00A42C71" w:rsidRPr="00A42C71">
        <w:t>https://www.voced.edu.au/content/ngv%3A46204</w:t>
      </w:r>
      <w:r w:rsidR="00A42C71">
        <w:t>&gt;</w:t>
      </w:r>
      <w:r>
        <w:t>.</w:t>
      </w:r>
    </w:p>
    <w:p w14:paraId="28A92478" w14:textId="1D431EC6" w:rsidR="002D52D7" w:rsidRPr="00FF5158" w:rsidRDefault="002D52D7" w:rsidP="00FB751C">
      <w:pPr>
        <w:pStyle w:val="References"/>
      </w:pPr>
      <w:r>
        <w:t xml:space="preserve">Lim, P, </w:t>
      </w:r>
      <w:proofErr w:type="spellStart"/>
      <w:r>
        <w:t>Gemici</w:t>
      </w:r>
      <w:proofErr w:type="spellEnd"/>
      <w:r>
        <w:t xml:space="preserve">, S &amp; </w:t>
      </w:r>
      <w:proofErr w:type="spellStart"/>
      <w:r>
        <w:t>Karmel</w:t>
      </w:r>
      <w:proofErr w:type="spellEnd"/>
      <w:r>
        <w:t xml:space="preserve">, T 2013, </w:t>
      </w:r>
      <w:r w:rsidRPr="007B0FD9">
        <w:rPr>
          <w:i/>
        </w:rPr>
        <w:t>The impact of school academic quality on low socioeconomic status students</w:t>
      </w:r>
      <w:r>
        <w:t>, LSAY research report no.63, NCVER, Adelaide, &lt;http://www.lsay.edu.au/publications/2640.html&gt;.</w:t>
      </w:r>
    </w:p>
    <w:p w14:paraId="7BE8C637" w14:textId="05A52B03" w:rsidR="002D52D7" w:rsidRDefault="002D52D7" w:rsidP="00FB751C">
      <w:pPr>
        <w:pStyle w:val="References"/>
      </w:pPr>
      <w:r>
        <w:t xml:space="preserve">Lim, P &amp; Karmel, T 2011, </w:t>
      </w:r>
      <w:r w:rsidRPr="007B0FD9">
        <w:rPr>
          <w:i/>
        </w:rPr>
        <w:t xml:space="preserve">The vocational equivalent to </w:t>
      </w:r>
      <w:r w:rsidR="00C92352" w:rsidRPr="00C92352">
        <w:rPr>
          <w:i/>
          <w:iCs/>
        </w:rPr>
        <w:t>Y</w:t>
      </w:r>
      <w:r w:rsidRPr="00C92352">
        <w:rPr>
          <w:i/>
          <w:iCs/>
        </w:rPr>
        <w:t>ear</w:t>
      </w:r>
      <w:r w:rsidRPr="007B0FD9">
        <w:rPr>
          <w:i/>
        </w:rPr>
        <w:t xml:space="preserve"> 12</w:t>
      </w:r>
      <w:r>
        <w:t>, LSAY research report no.58, NCVER, Adelaide, &lt;http://www.lsay.edu.au/publications/2416.html&gt;.</w:t>
      </w:r>
    </w:p>
    <w:p w14:paraId="2C0915C8" w14:textId="050BFED9" w:rsidR="002D52D7" w:rsidRPr="00304816" w:rsidRDefault="002D52D7" w:rsidP="00FB751C">
      <w:pPr>
        <w:pStyle w:val="References"/>
      </w:pPr>
      <w:r>
        <w:t xml:space="preserve">Semo, R &amp; Karmel, T 2011, </w:t>
      </w:r>
      <w:r w:rsidRPr="007B0FD9">
        <w:rPr>
          <w:i/>
        </w:rPr>
        <w:t>Social capital and youth transitions: do young people’s networks improve their participation in education and training?</w:t>
      </w:r>
      <w:r>
        <w:t>, NCVER</w:t>
      </w:r>
      <w:r w:rsidR="009F1ABB">
        <w:t>, Adelaide.</w:t>
      </w:r>
    </w:p>
    <w:p w14:paraId="4DB40AAB" w14:textId="77777777" w:rsidR="00A42C71" w:rsidRDefault="002D52D7">
      <w:pPr>
        <w:spacing w:before="0" w:line="240" w:lineRule="auto"/>
      </w:pPr>
      <w:r>
        <w:br w:type="page"/>
      </w:r>
    </w:p>
    <w:p w14:paraId="644E6A10" w14:textId="256B1F53" w:rsidR="0084077C" w:rsidRDefault="00683595" w:rsidP="00E612BF">
      <w:pPr>
        <w:pStyle w:val="Heading1"/>
      </w:pPr>
      <w:bookmarkStart w:id="55" w:name="_Toc19803897"/>
      <w:r>
        <w:lastRenderedPageBreak/>
        <w:t xml:space="preserve">Section </w:t>
      </w:r>
      <w:r w:rsidR="004D59CF">
        <w:t>2</w:t>
      </w:r>
      <w:r>
        <w:t>: Socioeconomic status and family background</w:t>
      </w:r>
      <w:bookmarkEnd w:id="55"/>
    </w:p>
    <w:p w14:paraId="0D5768B8" w14:textId="221AADA7" w:rsidR="00683595" w:rsidRPr="00B44E57" w:rsidRDefault="00683595" w:rsidP="006563EB">
      <w:pPr>
        <w:pStyle w:val="Text"/>
      </w:pPr>
      <w:r w:rsidRPr="00B44E57">
        <w:t>The background characteristics captured within</w:t>
      </w:r>
      <w:r w:rsidR="006B57A2" w:rsidRPr="00B44E57">
        <w:t xml:space="preserve"> the Programme for International Student Assessment</w:t>
      </w:r>
      <w:r w:rsidRPr="00B44E57">
        <w:t xml:space="preserve"> </w:t>
      </w:r>
      <w:r w:rsidR="006B57A2" w:rsidRPr="00B44E57">
        <w:t>(</w:t>
      </w:r>
      <w:r w:rsidRPr="00B44E57">
        <w:t>PISA</w:t>
      </w:r>
      <w:r w:rsidR="006B57A2" w:rsidRPr="00B44E57">
        <w:t>)</w:t>
      </w:r>
      <w:r w:rsidRPr="00B44E57">
        <w:t xml:space="preserve"> </w:t>
      </w:r>
      <w:r w:rsidR="00591320">
        <w:t>and</w:t>
      </w:r>
      <w:r w:rsidRPr="00B44E57">
        <w:t xml:space="preserve"> </w:t>
      </w:r>
      <w:r w:rsidR="006B57A2" w:rsidRPr="00B44E57">
        <w:t>Longitudinal Surveys of Australian Youth (</w:t>
      </w:r>
      <w:r w:rsidRPr="00B44E57">
        <w:t>LSAY</w:t>
      </w:r>
      <w:r w:rsidR="006B57A2" w:rsidRPr="00B44E57">
        <w:t>)</w:t>
      </w:r>
      <w:r w:rsidRPr="00B44E57">
        <w:t xml:space="preserve"> are a common source of interest for researchers and policymakers. </w:t>
      </w:r>
      <w:bookmarkStart w:id="56" w:name="_Hlk20148532"/>
      <w:r w:rsidRPr="00B44E57">
        <w:t xml:space="preserve">Having representative data across the </w:t>
      </w:r>
      <w:r w:rsidR="00C41765" w:rsidRPr="00B44E57">
        <w:t>10</w:t>
      </w:r>
      <w:r w:rsidR="00D44BDE" w:rsidRPr="00B44E57">
        <w:t>-</w:t>
      </w:r>
      <w:r w:rsidRPr="00B44E57">
        <w:t xml:space="preserve">year period means </w:t>
      </w:r>
      <w:r w:rsidR="00C41765" w:rsidRPr="00B44E57">
        <w:t xml:space="preserve">that </w:t>
      </w:r>
      <w:r w:rsidRPr="00B44E57">
        <w:t xml:space="preserve">we can </w:t>
      </w:r>
      <w:r w:rsidR="00207CE8" w:rsidRPr="00B44E57">
        <w:t>identify</w:t>
      </w:r>
      <w:r w:rsidRPr="00B44E57">
        <w:t xml:space="preserve"> </w:t>
      </w:r>
      <w:r w:rsidR="00591F32" w:rsidRPr="00B44E57">
        <w:t xml:space="preserve">the </w:t>
      </w:r>
      <w:r w:rsidRPr="00B44E57">
        <w:t xml:space="preserve">pathways taken by students and can therefore provide an evidence base for the creation of policies or programs that can encourage </w:t>
      </w:r>
      <w:r w:rsidR="001828B7" w:rsidRPr="00B44E57">
        <w:t xml:space="preserve">students </w:t>
      </w:r>
      <w:r w:rsidR="00C41765" w:rsidRPr="00B44E57">
        <w:t xml:space="preserve">− </w:t>
      </w:r>
      <w:r w:rsidRPr="00B44E57">
        <w:t xml:space="preserve">or </w:t>
      </w:r>
      <w:r w:rsidR="001828B7" w:rsidRPr="00B44E57">
        <w:t xml:space="preserve">be the base for early </w:t>
      </w:r>
      <w:r w:rsidRPr="00B44E57">
        <w:t>interven</w:t>
      </w:r>
      <w:r w:rsidR="001828B7" w:rsidRPr="00B44E57">
        <w:t>tions</w:t>
      </w:r>
      <w:r w:rsidRPr="00B44E57">
        <w:t xml:space="preserve">. </w:t>
      </w:r>
      <w:bookmarkEnd w:id="56"/>
    </w:p>
    <w:p w14:paraId="25F41F2B" w14:textId="3BEFBD4C" w:rsidR="00A42C71" w:rsidRPr="00221ADC" w:rsidRDefault="001828B7" w:rsidP="006563EB">
      <w:pPr>
        <w:pStyle w:val="Text"/>
      </w:pPr>
      <w:r w:rsidRPr="00B44E57">
        <w:t>Socioeconomic status is obtained through questions asked in PISA. This is done by using the Socio-Economic Indexes for Areas (SEIFA)</w:t>
      </w:r>
      <w:r w:rsidR="00B9689D" w:rsidRPr="00B44E57">
        <w:t xml:space="preserve"> and the PISA Index of Economic, Social and Cultural Status (ESCS).</w:t>
      </w:r>
      <w:r w:rsidR="00B9689D" w:rsidRPr="00B44E57">
        <w:br/>
      </w:r>
      <w:r w:rsidR="00B9689D" w:rsidRPr="00B44E57">
        <w:br/>
        <w:t>SEIFA</w:t>
      </w:r>
      <w:r w:rsidRPr="00B44E57">
        <w:t xml:space="preserve"> is used by the</w:t>
      </w:r>
      <w:r w:rsidR="003627A4" w:rsidRPr="00B44E57">
        <w:t xml:space="preserve"> Australian Bureau of Statistics</w:t>
      </w:r>
      <w:r w:rsidRPr="00B44E57">
        <w:t xml:space="preserve"> </w:t>
      </w:r>
      <w:r w:rsidR="003627A4" w:rsidRPr="00B44E57">
        <w:t>(</w:t>
      </w:r>
      <w:r w:rsidR="00C41765" w:rsidRPr="00B44E57">
        <w:t>ABS</w:t>
      </w:r>
      <w:r w:rsidR="003627A4" w:rsidRPr="00B44E57">
        <w:t xml:space="preserve">, </w:t>
      </w:r>
      <w:r w:rsidRPr="00B44E57">
        <w:t>2018)</w:t>
      </w:r>
      <w:r w:rsidR="00C41765" w:rsidRPr="00B44E57">
        <w:t>, which explains</w:t>
      </w:r>
      <w:r w:rsidR="00FE5E96" w:rsidRPr="00B44E57">
        <w:t xml:space="preserve"> the indexes as follows:</w:t>
      </w:r>
      <w:r w:rsidRPr="00B44E57">
        <w:t xml:space="preserve"> </w:t>
      </w:r>
    </w:p>
    <w:p w14:paraId="0E892DF6" w14:textId="13BDFDA1" w:rsidR="001828B7" w:rsidRPr="00B44E57" w:rsidRDefault="001828B7" w:rsidP="00207CE8">
      <w:pPr>
        <w:pStyle w:val="Quote"/>
      </w:pPr>
      <w:r w:rsidRPr="00221ADC">
        <w:t xml:space="preserve">SEIFA are a set of indexes created from summarising the diverse population, family and household characteristics related to socio-economic advantage and disadvantage collected in the Census of Population and </w:t>
      </w:r>
      <w:proofErr w:type="gramStart"/>
      <w:r w:rsidRPr="00221ADC">
        <w:t>Housing, and</w:t>
      </w:r>
      <w:proofErr w:type="gramEnd"/>
      <w:r w:rsidRPr="00221ADC">
        <w:t xml:space="preserve"> provide a ranking of areas in Australia. </w:t>
      </w:r>
      <w:r w:rsidRPr="00221ADC">
        <w:br/>
      </w:r>
      <w:r w:rsidRPr="00221ADC">
        <w:br/>
        <w:t xml:space="preserve">The 2016 SEIFA </w:t>
      </w:r>
      <w:r w:rsidR="00B9689D" w:rsidRPr="00221ADC">
        <w:t>Index of Relative Socio-economic Advantage and Disadvantage (</w:t>
      </w:r>
      <w:r w:rsidRPr="00221ADC">
        <w:t>IRSAD</w:t>
      </w:r>
      <w:r w:rsidR="00B9689D" w:rsidRPr="00221ADC">
        <w:t>)</w:t>
      </w:r>
      <w:r w:rsidRPr="00221ADC">
        <w:t xml:space="preserve"> is a general measure of both relative socio-economic advantage and disadvantage at the area level. It uses a range of different Census variables including income, education, employment, occupation and housing characteristics. An area with a low score on this index reflects relatively high levels of socio-economic disadvantage, whilst an area with a high score on this index indicates high levels of advantage</w:t>
      </w:r>
      <w:r w:rsidR="0033299B" w:rsidRPr="00221ADC">
        <w:t xml:space="preserve"> …</w:t>
      </w:r>
      <w:r w:rsidRPr="00221ADC">
        <w:br/>
      </w:r>
      <w:r w:rsidRPr="00221ADC">
        <w:br/>
        <w:t xml:space="preserve">It is important to remember that indexes are assigned to geographic areas, not individuals. For example, it is possible for a relatively advantaged person to reside in an area which may have a low score on some or </w:t>
      </w:r>
      <w:proofErr w:type="gramStart"/>
      <w:r w:rsidRPr="00221ADC">
        <w:t>all of</w:t>
      </w:r>
      <w:proofErr w:type="gramEnd"/>
      <w:r w:rsidRPr="00221ADC">
        <w:t xml:space="preserve"> the indexes. It is also possible for there to be pockets of advantage and disadvantage within a single area.</w:t>
      </w:r>
    </w:p>
    <w:p w14:paraId="734E5F04" w14:textId="77777777" w:rsidR="00A42C71" w:rsidRPr="00B44E57" w:rsidRDefault="00A42C71">
      <w:pPr>
        <w:spacing w:before="0" w:line="240" w:lineRule="auto"/>
      </w:pPr>
    </w:p>
    <w:p w14:paraId="60082FE1" w14:textId="55156A52" w:rsidR="00672B4B" w:rsidRPr="00B44E57" w:rsidRDefault="00207CE8" w:rsidP="006563EB">
      <w:pPr>
        <w:pStyle w:val="Text"/>
      </w:pPr>
      <w:r w:rsidRPr="00B44E57">
        <w:t xml:space="preserve">Lim and </w:t>
      </w:r>
      <w:proofErr w:type="spellStart"/>
      <w:r w:rsidRPr="00B44E57">
        <w:t>Gemici</w:t>
      </w:r>
      <w:proofErr w:type="spellEnd"/>
      <w:r w:rsidRPr="00B44E57">
        <w:t xml:space="preserve"> (2011) argued that the measurement of </w:t>
      </w:r>
      <w:r w:rsidR="003627A4" w:rsidRPr="00B44E57">
        <w:t>socioeconomic status (</w:t>
      </w:r>
      <w:r w:rsidRPr="00B44E57">
        <w:t>SES</w:t>
      </w:r>
      <w:r w:rsidR="003627A4" w:rsidRPr="00B44E57">
        <w:t>)</w:t>
      </w:r>
      <w:r w:rsidRPr="00B44E57">
        <w:t xml:space="preserve"> has received a </w:t>
      </w:r>
      <w:r w:rsidR="00591F32" w:rsidRPr="00B44E57">
        <w:t>great deal</w:t>
      </w:r>
      <w:r w:rsidRPr="00B44E57">
        <w:t xml:space="preserve"> of policy attention in Australia in terms of participation in education, as mentioned above</w:t>
      </w:r>
      <w:r w:rsidR="00C91A51" w:rsidRPr="00B44E57">
        <w:t>, while</w:t>
      </w:r>
      <w:r w:rsidR="00D1440B" w:rsidRPr="00B44E57">
        <w:t xml:space="preserve"> </w:t>
      </w:r>
      <w:r w:rsidRPr="00B44E57">
        <w:t>Karmel and Lim (2013)</w:t>
      </w:r>
      <w:r w:rsidR="00D1440B" w:rsidRPr="00B44E57">
        <w:t xml:space="preserve"> </w:t>
      </w:r>
      <w:r w:rsidR="00C91A51" w:rsidRPr="00B44E57">
        <w:t>suggest</w:t>
      </w:r>
      <w:r w:rsidR="00D1440B" w:rsidRPr="00B44E57">
        <w:t xml:space="preserve"> that</w:t>
      </w:r>
      <w:r w:rsidR="00C91A51" w:rsidRPr="00B44E57">
        <w:t>,</w:t>
      </w:r>
      <w:r w:rsidR="000417AF" w:rsidRPr="00B44E57">
        <w:t xml:space="preserve"> despite</w:t>
      </w:r>
      <w:r w:rsidRPr="00B44E57">
        <w:t xml:space="preserve"> </w:t>
      </w:r>
      <w:r w:rsidR="00902E09" w:rsidRPr="00B44E57">
        <w:t xml:space="preserve">performing poorly when </w:t>
      </w:r>
      <w:r w:rsidR="000417AF" w:rsidRPr="00B44E57">
        <w:t>classifying individuals by SES, SEIFA measures provide an effective measurement of the aggregate relationship between SES and education participation.</w:t>
      </w:r>
      <w:r w:rsidR="001828B7" w:rsidRPr="00B44E57">
        <w:t xml:space="preserve"> </w:t>
      </w:r>
    </w:p>
    <w:p w14:paraId="298A2D58" w14:textId="0432DD19" w:rsidR="00B9689D" w:rsidRPr="00B44E57" w:rsidRDefault="00B9689D" w:rsidP="006563EB">
      <w:pPr>
        <w:pStyle w:val="Text"/>
      </w:pPr>
      <w:r w:rsidRPr="00B44E57">
        <w:t>ESCS is defined in the</w:t>
      </w:r>
      <w:r w:rsidR="003627A4" w:rsidRPr="00B44E57">
        <w:t xml:space="preserve"> Organisation for Economic Co-operation and Development’s</w:t>
      </w:r>
      <w:r w:rsidRPr="00B44E57">
        <w:t xml:space="preserve"> </w:t>
      </w:r>
      <w:r w:rsidR="003627A4" w:rsidRPr="00B44E57">
        <w:t>(</w:t>
      </w:r>
      <w:r w:rsidRPr="00B44E57">
        <w:t>OECD</w:t>
      </w:r>
      <w:r w:rsidR="003627A4" w:rsidRPr="00B44E57">
        <w:t>)</w:t>
      </w:r>
      <w:r w:rsidRPr="00B44E57">
        <w:t xml:space="preserve"> glossary as follows:</w:t>
      </w:r>
    </w:p>
    <w:p w14:paraId="5438CE15" w14:textId="11259735" w:rsidR="00B9689D" w:rsidRPr="00221ADC" w:rsidRDefault="00B9689D" w:rsidP="00B9689D">
      <w:pPr>
        <w:pStyle w:val="Quote"/>
        <w:rPr>
          <w:b/>
          <w:szCs w:val="19"/>
        </w:rPr>
      </w:pPr>
      <w:r w:rsidRPr="00221ADC">
        <w:t>The Programme for International Student Assessment (PISA) index of economic, social and cultural status was created on the basis of the following variables: the International Socio-Economic Index of Occupational Status (ISEI); the highest level of education of the student’s parents, converted into years of schooling; the PISA index of family wealth; the PISA index of home educational resources; and the PISA index of possessions related to “classical” culture in the family home.</w:t>
      </w:r>
    </w:p>
    <w:p w14:paraId="11A84BCF" w14:textId="493E197C" w:rsidR="00655E5C" w:rsidRPr="00B44E57" w:rsidRDefault="00655E5C" w:rsidP="00655E5C">
      <w:pPr>
        <w:pStyle w:val="Text"/>
      </w:pPr>
      <w:r w:rsidRPr="00B44E57">
        <w:lastRenderedPageBreak/>
        <w:t xml:space="preserve">The next three chapters look at the family background or socioeconomic status of students, with a focus on how coming from a lower-SES background influences education </w:t>
      </w:r>
      <w:proofErr w:type="gramStart"/>
      <w:r w:rsidRPr="00B44E57">
        <w:t>pathways</w:t>
      </w:r>
      <w:proofErr w:type="gramEnd"/>
      <w:r w:rsidRPr="00B44E57">
        <w:t xml:space="preserve">. </w:t>
      </w:r>
    </w:p>
    <w:p w14:paraId="2104CE90" w14:textId="77777777" w:rsidR="00412324" w:rsidRDefault="00412324" w:rsidP="00412324">
      <w:pPr>
        <w:pStyle w:val="Heading2"/>
        <w:spacing w:after="240"/>
      </w:pPr>
      <w:bookmarkStart w:id="57" w:name="_Toc19803898"/>
      <w:r>
        <w:t>References</w:t>
      </w:r>
      <w:bookmarkEnd w:id="57"/>
    </w:p>
    <w:p w14:paraId="4C91AC0D" w14:textId="44C1343A" w:rsidR="00412324" w:rsidRPr="005266FF" w:rsidRDefault="003627A4" w:rsidP="00412324">
      <w:pPr>
        <w:pStyle w:val="Text"/>
        <w:ind w:left="284" w:hanging="284"/>
        <w:rPr>
          <w:i/>
          <w:sz w:val="18"/>
          <w:szCs w:val="18"/>
        </w:rPr>
      </w:pPr>
      <w:r>
        <w:rPr>
          <w:sz w:val="18"/>
          <w:szCs w:val="18"/>
        </w:rPr>
        <w:t>ABS (</w:t>
      </w:r>
      <w:r w:rsidR="00412324" w:rsidRPr="005266FF">
        <w:rPr>
          <w:sz w:val="18"/>
          <w:szCs w:val="18"/>
        </w:rPr>
        <w:t>Australian Bureau of Statistics</w:t>
      </w:r>
      <w:r>
        <w:rPr>
          <w:sz w:val="18"/>
          <w:szCs w:val="18"/>
        </w:rPr>
        <w:t>)</w:t>
      </w:r>
      <w:r w:rsidR="00412324" w:rsidRPr="005266FF">
        <w:rPr>
          <w:sz w:val="18"/>
          <w:szCs w:val="18"/>
        </w:rPr>
        <w:t xml:space="preserve"> 2018, </w:t>
      </w:r>
      <w:r w:rsidR="00412324" w:rsidRPr="005266FF">
        <w:rPr>
          <w:i/>
          <w:sz w:val="18"/>
          <w:szCs w:val="18"/>
        </w:rPr>
        <w:t>Socio-economic advantage and disadvantage, &lt;</w:t>
      </w:r>
      <w:r w:rsidR="00412324" w:rsidRPr="005266FF">
        <w:rPr>
          <w:sz w:val="18"/>
          <w:szCs w:val="18"/>
        </w:rPr>
        <w:t xml:space="preserve"> </w:t>
      </w:r>
      <w:hyperlink r:id="rId33" w:history="1">
        <w:r w:rsidR="00412324" w:rsidRPr="005266FF">
          <w:rPr>
            <w:rStyle w:val="Hyperlink"/>
            <w:i/>
            <w:sz w:val="18"/>
            <w:szCs w:val="18"/>
          </w:rPr>
          <w:t>https://www.abs.gov.au/ausstats/abs@.nsf/Lookup/by%20Subject/2071.0~2016~Main%20Features~Socio-Economic%20Advantage%20and%20Disadvantage~123</w:t>
        </w:r>
      </w:hyperlink>
      <w:r w:rsidR="00412324" w:rsidRPr="005266FF">
        <w:rPr>
          <w:i/>
          <w:sz w:val="18"/>
          <w:szCs w:val="18"/>
        </w:rPr>
        <w:t>&gt;.</w:t>
      </w:r>
    </w:p>
    <w:p w14:paraId="602F12CF" w14:textId="529C6AE2" w:rsidR="003627A4" w:rsidRPr="003627A4" w:rsidRDefault="003627A4" w:rsidP="00412324">
      <w:pPr>
        <w:pStyle w:val="Text"/>
        <w:ind w:left="284" w:hanging="284"/>
        <w:rPr>
          <w:sz w:val="18"/>
          <w:szCs w:val="18"/>
        </w:rPr>
      </w:pPr>
      <w:r>
        <w:rPr>
          <w:sz w:val="18"/>
          <w:szCs w:val="18"/>
        </w:rPr>
        <w:t xml:space="preserve">Karmel, T &amp; Lim, P 2013, </w:t>
      </w:r>
      <w:r>
        <w:rPr>
          <w:i/>
          <w:sz w:val="18"/>
          <w:szCs w:val="18"/>
        </w:rPr>
        <w:t>Socioeconomic disadvantage and participation in tertiary education: preliminary thoughts</w:t>
      </w:r>
      <w:r>
        <w:rPr>
          <w:sz w:val="18"/>
          <w:szCs w:val="18"/>
        </w:rPr>
        <w:t>, NCVER occasional paper, NCVER, Adelaide.</w:t>
      </w:r>
    </w:p>
    <w:p w14:paraId="083752E3" w14:textId="319C9C90" w:rsidR="00412324" w:rsidRPr="005266FF" w:rsidRDefault="00412324" w:rsidP="00412324">
      <w:pPr>
        <w:pStyle w:val="Text"/>
        <w:ind w:left="284" w:hanging="284"/>
        <w:rPr>
          <w:sz w:val="18"/>
          <w:szCs w:val="18"/>
        </w:rPr>
      </w:pPr>
      <w:r w:rsidRPr="005266FF">
        <w:rPr>
          <w:sz w:val="18"/>
          <w:szCs w:val="18"/>
        </w:rPr>
        <w:t xml:space="preserve">Lim, P. &amp; </w:t>
      </w:r>
      <w:proofErr w:type="spellStart"/>
      <w:r w:rsidRPr="005266FF">
        <w:rPr>
          <w:sz w:val="18"/>
          <w:szCs w:val="18"/>
        </w:rPr>
        <w:t>Gemici</w:t>
      </w:r>
      <w:proofErr w:type="spellEnd"/>
      <w:r w:rsidRPr="005266FF">
        <w:rPr>
          <w:sz w:val="18"/>
          <w:szCs w:val="18"/>
        </w:rPr>
        <w:t xml:space="preserve">, S 2011, </w:t>
      </w:r>
      <w:r w:rsidRPr="005266FF">
        <w:rPr>
          <w:i/>
          <w:sz w:val="18"/>
          <w:szCs w:val="18"/>
        </w:rPr>
        <w:t xml:space="preserve">Measuring the socioeconomic status of Australian youth, </w:t>
      </w:r>
      <w:r w:rsidRPr="005266FF">
        <w:rPr>
          <w:sz w:val="18"/>
          <w:szCs w:val="18"/>
        </w:rPr>
        <w:t>Technical Paper, NCVER, Adelaide.</w:t>
      </w:r>
    </w:p>
    <w:p w14:paraId="6E64830F" w14:textId="12C49FB8" w:rsidR="00412324" w:rsidRPr="005266FF" w:rsidRDefault="003627A4" w:rsidP="00412324">
      <w:pPr>
        <w:pStyle w:val="Text"/>
        <w:ind w:left="284" w:hanging="284"/>
        <w:rPr>
          <w:sz w:val="18"/>
          <w:szCs w:val="18"/>
        </w:rPr>
      </w:pPr>
      <w:r>
        <w:rPr>
          <w:sz w:val="18"/>
          <w:szCs w:val="18"/>
        </w:rPr>
        <w:t>OECD (</w:t>
      </w:r>
      <w:r w:rsidR="005266FF" w:rsidRPr="005266FF">
        <w:rPr>
          <w:sz w:val="18"/>
          <w:szCs w:val="18"/>
        </w:rPr>
        <w:t>Organisation for Economic Co-operation and Development</w:t>
      </w:r>
      <w:r>
        <w:rPr>
          <w:sz w:val="18"/>
          <w:szCs w:val="18"/>
        </w:rPr>
        <w:t>)</w:t>
      </w:r>
      <w:r w:rsidR="005266FF" w:rsidRPr="005266FF">
        <w:rPr>
          <w:sz w:val="18"/>
          <w:szCs w:val="18"/>
        </w:rPr>
        <w:t xml:space="preserve"> 2019, </w:t>
      </w:r>
      <w:r w:rsidR="005266FF" w:rsidRPr="005266FF">
        <w:rPr>
          <w:i/>
          <w:sz w:val="18"/>
          <w:szCs w:val="18"/>
        </w:rPr>
        <w:t xml:space="preserve">PISA index of economic, social and cultural status, </w:t>
      </w:r>
      <w:r w:rsidR="005266FF" w:rsidRPr="005266FF">
        <w:rPr>
          <w:sz w:val="18"/>
          <w:szCs w:val="18"/>
        </w:rPr>
        <w:t>Glossary of statistical terms, &lt;https://stats.oecd.org/glossary/detail.asp?ID=5401&gt;.</w:t>
      </w:r>
    </w:p>
    <w:p w14:paraId="2DF2D2DB" w14:textId="77777777" w:rsidR="001A45D0" w:rsidRDefault="001A45D0">
      <w:pPr>
        <w:spacing w:before="0" w:line="240" w:lineRule="auto"/>
        <w:rPr>
          <w:b/>
          <w:szCs w:val="19"/>
        </w:rPr>
      </w:pPr>
    </w:p>
    <w:p w14:paraId="05BE43E0" w14:textId="0BBB5D31" w:rsidR="000B16EA" w:rsidRDefault="000B16EA">
      <w:pPr>
        <w:spacing w:before="0" w:line="240" w:lineRule="auto"/>
        <w:rPr>
          <w:b/>
          <w:szCs w:val="19"/>
        </w:rPr>
      </w:pPr>
      <w:r>
        <w:rPr>
          <w:b/>
          <w:szCs w:val="19"/>
        </w:rPr>
        <w:br w:type="page"/>
      </w:r>
    </w:p>
    <w:p w14:paraId="7E12EAD7" w14:textId="09A0A85E" w:rsidR="008A4E15" w:rsidRDefault="008A4E15" w:rsidP="00E612BF">
      <w:pPr>
        <w:pStyle w:val="Heading1"/>
      </w:pPr>
      <w:bookmarkStart w:id="58" w:name="_Toc19803899"/>
      <w:r>
        <w:lastRenderedPageBreak/>
        <w:t>Student insights, trajectories and equity considerations: using the LSAY to examine demographic predictors of participation in senior secondary science</w:t>
      </w:r>
      <w:bookmarkEnd w:id="58"/>
    </w:p>
    <w:p w14:paraId="36C8355D" w14:textId="50EC539E" w:rsidR="008A4E15" w:rsidRPr="007B0FD9" w:rsidRDefault="008A4E15" w:rsidP="002C63DD">
      <w:pPr>
        <w:pStyle w:val="Text"/>
        <w:rPr>
          <w:i/>
          <w:sz w:val="22"/>
          <w:szCs w:val="22"/>
        </w:rPr>
      </w:pPr>
      <w:r w:rsidRPr="007B0FD9">
        <w:rPr>
          <w:i/>
          <w:sz w:val="22"/>
          <w:szCs w:val="22"/>
        </w:rPr>
        <w:t>Grant Cooper</w:t>
      </w:r>
      <w:r w:rsidR="00725D79">
        <w:rPr>
          <w:i/>
          <w:sz w:val="22"/>
          <w:szCs w:val="22"/>
        </w:rPr>
        <w:t>, RMIT</w:t>
      </w:r>
    </w:p>
    <w:p w14:paraId="4863CB17" w14:textId="03D1F866" w:rsidR="009D055C" w:rsidRPr="00725D79" w:rsidRDefault="009D055C" w:rsidP="002C63DD">
      <w:pPr>
        <w:pStyle w:val="Text"/>
      </w:pPr>
      <w:r>
        <w:rPr>
          <w:i/>
        </w:rPr>
        <w:t>Th</w:t>
      </w:r>
      <w:r w:rsidR="00D45BB4">
        <w:rPr>
          <w:i/>
        </w:rPr>
        <w:t>e analysis in this chapter</w:t>
      </w:r>
      <w:r>
        <w:rPr>
          <w:i/>
        </w:rPr>
        <w:t xml:space="preserve"> draws on</w:t>
      </w:r>
      <w:r w:rsidR="002F034E">
        <w:rPr>
          <w:i/>
        </w:rPr>
        <w:t xml:space="preserve"> a</w:t>
      </w:r>
      <w:r w:rsidR="006C7636">
        <w:rPr>
          <w:i/>
        </w:rPr>
        <w:t xml:space="preserve"> 2018</w:t>
      </w:r>
      <w:r w:rsidR="002F034E">
        <w:rPr>
          <w:i/>
        </w:rPr>
        <w:t xml:space="preserve"> </w:t>
      </w:r>
      <w:r w:rsidR="0029795D">
        <w:rPr>
          <w:i/>
        </w:rPr>
        <w:t>journal article by</w:t>
      </w:r>
      <w:r w:rsidR="006C7636">
        <w:rPr>
          <w:i/>
        </w:rPr>
        <w:t xml:space="preserve"> G</w:t>
      </w:r>
      <w:r w:rsidR="0029795D">
        <w:rPr>
          <w:i/>
        </w:rPr>
        <w:t xml:space="preserve"> </w:t>
      </w:r>
      <w:r w:rsidR="006C7636" w:rsidRPr="006C7636">
        <w:rPr>
          <w:i/>
          <w:iCs/>
        </w:rPr>
        <w:t xml:space="preserve">Cooper, A Berry and </w:t>
      </w:r>
      <w:r w:rsidR="009A1D66">
        <w:rPr>
          <w:i/>
          <w:iCs/>
        </w:rPr>
        <w:t>J</w:t>
      </w:r>
      <w:r w:rsidR="006C7636" w:rsidRPr="006C7636">
        <w:rPr>
          <w:i/>
          <w:iCs/>
        </w:rPr>
        <w:t xml:space="preserve"> </w:t>
      </w:r>
      <w:proofErr w:type="spellStart"/>
      <w:r w:rsidR="006C7636" w:rsidRPr="006C7636">
        <w:rPr>
          <w:i/>
          <w:iCs/>
        </w:rPr>
        <w:t>Baglin</w:t>
      </w:r>
      <w:proofErr w:type="spellEnd"/>
      <w:r w:rsidR="0029795D" w:rsidRPr="006C7636">
        <w:rPr>
          <w:i/>
          <w:iCs/>
        </w:rPr>
        <w:t>,</w:t>
      </w:r>
      <w:r w:rsidR="006C7636">
        <w:rPr>
          <w:i/>
          <w:iCs/>
        </w:rPr>
        <w:t xml:space="preserve"> </w:t>
      </w:r>
      <w:r w:rsidR="0029795D" w:rsidRPr="006C7636">
        <w:rPr>
          <w:i/>
          <w:iCs/>
        </w:rPr>
        <w:t>‘Demographic predictors of students’ science participation over the age of 16: an Australian case study’</w:t>
      </w:r>
      <w:r w:rsidR="00725D79">
        <w:rPr>
          <w:i/>
          <w:iCs/>
        </w:rPr>
        <w:t xml:space="preserve">, </w:t>
      </w:r>
      <w:r w:rsidR="00725D79">
        <w:rPr>
          <w:iCs/>
        </w:rPr>
        <w:t xml:space="preserve">Research in Science Education, </w:t>
      </w:r>
      <w:r w:rsidR="00725D79" w:rsidRPr="00725D79">
        <w:rPr>
          <w:i/>
          <w:iCs/>
        </w:rPr>
        <w:t>DOI: 10.1007/s11165-018-9692-0</w:t>
      </w:r>
      <w:r w:rsidR="00725D79">
        <w:rPr>
          <w:iCs/>
        </w:rPr>
        <w:t>.</w:t>
      </w:r>
    </w:p>
    <w:p w14:paraId="39B402FB" w14:textId="77777777" w:rsidR="008A4E15" w:rsidRDefault="008A4E15" w:rsidP="008A4E15">
      <w:pPr>
        <w:pStyle w:val="Heading2"/>
      </w:pPr>
      <w:bookmarkStart w:id="59" w:name="_Toc15048887"/>
      <w:bookmarkStart w:id="60" w:name="_Toc19803900"/>
      <w:r>
        <w:t>Background</w:t>
      </w:r>
      <w:bookmarkEnd w:id="59"/>
      <w:bookmarkEnd w:id="60"/>
    </w:p>
    <w:p w14:paraId="49E33AFD" w14:textId="56052B82" w:rsidR="008A4E15" w:rsidRDefault="008A4E15" w:rsidP="006563EB">
      <w:pPr>
        <w:pStyle w:val="Text"/>
      </w:pPr>
      <w:r>
        <w:t xml:space="preserve">Science, </w:t>
      </w:r>
      <w:r w:rsidR="00902E09">
        <w:t>technology, engineering and maths</w:t>
      </w:r>
      <w:r w:rsidR="00AD3CF1">
        <w:t xml:space="preserve"> (STEM)</w:t>
      </w:r>
      <w:r>
        <w:t xml:space="preserve"> literacies are viewed by governments, industry and others as crucial to growth, fostering innovation and promoting global</w:t>
      </w:r>
      <w:r w:rsidR="00902E09">
        <w:t xml:space="preserve"> </w:t>
      </w:r>
      <w:r>
        <w:t xml:space="preserve">competitiveness. There are, however, concerns about disparities between supply and demand in the so-called STEM-labour pipeline (Hobbs, Clark &amp; Plant 2018). As part of the response, education reform has been viewed as one way of addressing the predicted mismatch between STEM labour market demand and domestic supply. Reliable and representative student data </w:t>
      </w:r>
      <w:r w:rsidR="0048487F">
        <w:t>are an</w:t>
      </w:r>
      <w:r>
        <w:t xml:space="preserve"> important ‘resource’ as stakeholders try to address some of the challenges and/or barriers associated with STEM education in Australia and</w:t>
      </w:r>
      <w:r w:rsidR="0048487F">
        <w:t>,</w:t>
      </w:r>
      <w:r>
        <w:t xml:space="preserve"> indeed, globally. The policy and initiatives focusing on the improvement of STEM-education outcomes and participation need to be evidence-based. Data that offer insights into students’ educational and career trajectories, especially longitudinal studies, </w:t>
      </w:r>
      <w:r w:rsidR="003D7057">
        <w:t>are</w:t>
      </w:r>
      <w:r>
        <w:t xml:space="preserve"> an important resource for stakeholders as they implement change. The dataset of interest in this publication is the Longitudinal Surveys of Australian Youth</w:t>
      </w:r>
      <w:r w:rsidR="00A678DD">
        <w:t xml:space="preserve"> (LSAY)</w:t>
      </w:r>
      <w:r>
        <w:t xml:space="preserve">. Analysing students’ science participation in senior secondary science, this brief chapter draws on </w:t>
      </w:r>
      <w:r w:rsidR="004F130A">
        <w:t xml:space="preserve">an </w:t>
      </w:r>
      <w:r>
        <w:t xml:space="preserve">analysis by Cooper, Berry and </w:t>
      </w:r>
      <w:proofErr w:type="spellStart"/>
      <w:r>
        <w:t>Baglin</w:t>
      </w:r>
      <w:proofErr w:type="spellEnd"/>
      <w:r>
        <w:t xml:space="preserve"> (2018). In this piece of work, Cooper and colleagues used the LSAY data to examine </w:t>
      </w:r>
      <w:r w:rsidR="00400301">
        <w:t>whether</w:t>
      </w:r>
      <w:r>
        <w:t>, and to what extent, demographic factors predict students’ participation in science over the age of 16</w:t>
      </w:r>
      <w:r w:rsidR="00400301">
        <w:t xml:space="preserve"> years</w:t>
      </w:r>
      <w:r>
        <w:t xml:space="preserve"> (post-16). Subject selection during this stage in students’ lives is crucial</w:t>
      </w:r>
      <w:r w:rsidR="00400301">
        <w:t>, given</w:t>
      </w:r>
      <w:r>
        <w:t xml:space="preserve"> that such choices may have a profound impact on their future pathways.</w:t>
      </w:r>
    </w:p>
    <w:p w14:paraId="2D5AD3A7" w14:textId="31133FE4" w:rsidR="008A4E15" w:rsidRDefault="008A4E15" w:rsidP="006563EB">
      <w:pPr>
        <w:pStyle w:val="Text"/>
      </w:pPr>
      <w:r>
        <w:t xml:space="preserve">While there is a lack of space to </w:t>
      </w:r>
      <w:r w:rsidR="00C61846">
        <w:t>examine in detail</w:t>
      </w:r>
      <w:r>
        <w:t xml:space="preserve"> the Cooper, Berry and </w:t>
      </w:r>
      <w:proofErr w:type="spellStart"/>
      <w:r>
        <w:t>Baglin</w:t>
      </w:r>
      <w:proofErr w:type="spellEnd"/>
      <w:r>
        <w:t xml:space="preserve"> (2018)</w:t>
      </w:r>
      <w:r w:rsidR="003C0B0F">
        <w:t xml:space="preserve"> </w:t>
      </w:r>
      <w:r>
        <w:t xml:space="preserve">study, the reader is encouraged to access this paper for a more complete discussion </w:t>
      </w:r>
      <w:r w:rsidR="00C61846">
        <w:t>on</w:t>
      </w:r>
      <w:r>
        <w:t xml:space="preserve"> </w:t>
      </w:r>
      <w:r w:rsidR="00F75827">
        <w:t xml:space="preserve">the </w:t>
      </w:r>
      <w:r w:rsidR="00C219A0">
        <w:t>various</w:t>
      </w:r>
      <w:r>
        <w:t xml:space="preserve"> components of the study, particularly if they are interested in reading more about science participation in Australia. </w:t>
      </w:r>
      <w:r w:rsidR="009F0AD9">
        <w:t>Here</w:t>
      </w:r>
      <w:r>
        <w:t>, the findings of the Cooper</w:t>
      </w:r>
      <w:r w:rsidR="004510A9">
        <w:t xml:space="preserve">, Berry and </w:t>
      </w:r>
      <w:proofErr w:type="spellStart"/>
      <w:r w:rsidR="004510A9">
        <w:t>Baglin</w:t>
      </w:r>
      <w:proofErr w:type="spellEnd"/>
      <w:r w:rsidR="004510A9">
        <w:t xml:space="preserve"> </w:t>
      </w:r>
      <w:r w:rsidR="00731281">
        <w:t>study</w:t>
      </w:r>
      <w:r>
        <w:t xml:space="preserve"> are used </w:t>
      </w:r>
      <w:r w:rsidR="00135D1A">
        <w:t>to demonstrate</w:t>
      </w:r>
      <w:r>
        <w:t xml:space="preserve"> the potential for LSAY to offer valuable insights into students’ educational and career pathways.</w:t>
      </w:r>
    </w:p>
    <w:p w14:paraId="10767C0C" w14:textId="2542D689" w:rsidR="008A4E15" w:rsidRDefault="008A4E15" w:rsidP="006563EB">
      <w:pPr>
        <w:pStyle w:val="Text"/>
      </w:pPr>
      <w:r>
        <w:t>The last two decades have seen considerable declines in the proportion of high school students choosing senior science course</w:t>
      </w:r>
      <w:r w:rsidR="004510A9">
        <w:t>s in</w:t>
      </w:r>
      <w:r>
        <w:t xml:space="preserve"> many post-industrial countries</w:t>
      </w:r>
      <w:r w:rsidR="004510A9">
        <w:t>,</w:t>
      </w:r>
      <w:r>
        <w:t xml:space="preserve"> including Australia (Kennedy, Lyons &amp; Quinn 2014). Commonly, learners perceive that science and science education </w:t>
      </w:r>
      <w:r w:rsidR="00043D42">
        <w:t>offer</w:t>
      </w:r>
      <w:r>
        <w:t xml:space="preserve"> little relevance both </w:t>
      </w:r>
      <w:r w:rsidR="009F0AD9">
        <w:t>to</w:t>
      </w:r>
      <w:r>
        <w:t xml:space="preserve"> themselves and </w:t>
      </w:r>
      <w:r w:rsidR="009F0AD9">
        <w:t>to</w:t>
      </w:r>
      <w:r>
        <w:t xml:space="preserve"> the society in which they live (Dillon 2009). Adding to concerns about falling participation rates in science education </w:t>
      </w:r>
      <w:r>
        <w:lastRenderedPageBreak/>
        <w:t xml:space="preserve">are </w:t>
      </w:r>
      <w:r w:rsidR="003910BD">
        <w:t xml:space="preserve">the </w:t>
      </w:r>
      <w:r>
        <w:t xml:space="preserve">student groups </w:t>
      </w:r>
      <w:r w:rsidR="003910BD">
        <w:t xml:space="preserve">who </w:t>
      </w:r>
      <w:r>
        <w:t>have traditionally been underrepresented in science, particularly as the year level increases (UNESCO 2017). Such groups include those from low</w:t>
      </w:r>
      <w:r w:rsidR="003910BD">
        <w:t>-</w:t>
      </w:r>
      <w:r w:rsidR="001D4B3C">
        <w:t xml:space="preserve">socioeconomic status </w:t>
      </w:r>
      <w:r w:rsidR="00846CFF">
        <w:t>(</w:t>
      </w:r>
      <w:r>
        <w:t>SES</w:t>
      </w:r>
      <w:r w:rsidR="00846CFF">
        <w:t>)</w:t>
      </w:r>
      <w:r>
        <w:t xml:space="preserve"> backgrounds (Fullarton</w:t>
      </w:r>
      <w:r w:rsidR="00A97659">
        <w:t xml:space="preserve"> et al.</w:t>
      </w:r>
      <w:r>
        <w:t xml:space="preserve"> 2003; </w:t>
      </w:r>
      <w:proofErr w:type="spellStart"/>
      <w:r>
        <w:t>Gorard</w:t>
      </w:r>
      <w:proofErr w:type="spellEnd"/>
      <w:r>
        <w:t xml:space="preserve"> &amp; See 2009), Indigenous Australians (</w:t>
      </w:r>
      <w:proofErr w:type="spellStart"/>
      <w:r>
        <w:t>Dreise</w:t>
      </w:r>
      <w:proofErr w:type="spellEnd"/>
      <w:r>
        <w:t xml:space="preserve"> &amp; Thomson 2014)</w:t>
      </w:r>
      <w:r w:rsidR="00201EC4">
        <w:t>,</w:t>
      </w:r>
      <w:r>
        <w:t xml:space="preserve"> and female</w:t>
      </w:r>
      <w:r w:rsidR="00342496">
        <w:t>s</w:t>
      </w:r>
      <w:r>
        <w:t xml:space="preserve"> in the physical sciences (Higgins 2018). Ancestry backgrounds have been associated with a disadvantage in academic achievement in countries such as the USA and parts of Europe, while an immigrant advantage has been observed in countries with selective immigration policies</w:t>
      </w:r>
      <w:r w:rsidR="00342496">
        <w:t>,</w:t>
      </w:r>
      <w:r>
        <w:t xml:space="preserve"> including Australia and Canada (</w:t>
      </w:r>
      <w:proofErr w:type="spellStart"/>
      <w:r>
        <w:t>Akther</w:t>
      </w:r>
      <w:proofErr w:type="spellEnd"/>
      <w:r>
        <w:t xml:space="preserve"> &amp; Robinson 2014). </w:t>
      </w:r>
      <w:r w:rsidR="00342496">
        <w:t xml:space="preserve">Cooper, Berry and </w:t>
      </w:r>
      <w:proofErr w:type="spellStart"/>
      <w:r w:rsidR="00342496">
        <w:t>Baglin</w:t>
      </w:r>
      <w:proofErr w:type="spellEnd"/>
      <w:r w:rsidR="00342496">
        <w:t xml:space="preserve"> (2018)</w:t>
      </w:r>
      <w:r w:rsidR="00BC5861">
        <w:t xml:space="preserve"> </w:t>
      </w:r>
      <w:r>
        <w:t>examined four demographic predictors of science participation</w:t>
      </w:r>
      <w:r w:rsidR="00BC5861">
        <w:t>,</w:t>
      </w:r>
      <w:r>
        <w:t xml:space="preserve"> including </w:t>
      </w:r>
      <w:r w:rsidR="00A678DD">
        <w:t>SES</w:t>
      </w:r>
      <w:r>
        <w:t>, Indigenous status, gender and ancestry/background. The results below are drawn from the 2009 cohort of the LSAY survey (Y09). Y09 was selected because it was the latest publicly available LSAY dataset that aligned with the aim of the study when the project started.</w:t>
      </w:r>
    </w:p>
    <w:p w14:paraId="2C818BB0" w14:textId="77777777" w:rsidR="008A4E15" w:rsidRDefault="008A4E15" w:rsidP="008A4E15">
      <w:pPr>
        <w:pStyle w:val="Heading2"/>
      </w:pPr>
      <w:bookmarkStart w:id="61" w:name="_Toc15048888"/>
      <w:bookmarkStart w:id="62" w:name="_Toc19803901"/>
      <w:r>
        <w:t>Results</w:t>
      </w:r>
      <w:bookmarkEnd w:id="61"/>
      <w:bookmarkEnd w:id="62"/>
    </w:p>
    <w:p w14:paraId="00D8A2AD" w14:textId="7484B678" w:rsidR="008A4E15" w:rsidRDefault="008A4E15" w:rsidP="006563EB">
      <w:pPr>
        <w:pStyle w:val="Text"/>
      </w:pPr>
      <w:r>
        <w:t xml:space="preserve">As shown in </w:t>
      </w:r>
      <w:r w:rsidR="00BC5861">
        <w:t>t</w:t>
      </w:r>
      <w:r>
        <w:t xml:space="preserve">able </w:t>
      </w:r>
      <w:r w:rsidR="000E2026">
        <w:t>2</w:t>
      </w:r>
      <w:r>
        <w:t>, approximately 57% of the study participants were female</w:t>
      </w:r>
      <w:r w:rsidR="00BC5861">
        <w:t>,</w:t>
      </w:r>
      <w:r>
        <w:t xml:space="preserve"> while nearly 43% were male. Indigenous students comprised just over 5% of the sample</w:t>
      </w:r>
      <w:r w:rsidR="00BC5861">
        <w:t>, which is</w:t>
      </w:r>
      <w:r>
        <w:t xml:space="preserve"> higher than the estimate in the total Australian population (approximately 3%). About 58% of the sample were categori</w:t>
      </w:r>
      <w:r w:rsidR="0088106D">
        <w:t>s</w:t>
      </w:r>
      <w:r>
        <w:t>ed as Australian-born, nearly one</w:t>
      </w:r>
      <w:r w:rsidR="0088106D">
        <w:t>-</w:t>
      </w:r>
      <w:r>
        <w:t>third were first-generation</w:t>
      </w:r>
      <w:r w:rsidR="0071358B">
        <w:t xml:space="preserve"> individuals</w:t>
      </w:r>
      <w:r>
        <w:t xml:space="preserve"> and the remainder </w:t>
      </w:r>
      <w:r w:rsidR="0071358B">
        <w:t>had</w:t>
      </w:r>
      <w:r>
        <w:t xml:space="preserve"> foreign-born ancestry. Over 7000 students were included in the analysis</w:t>
      </w:r>
      <w:r w:rsidR="00CB0EDA">
        <w:t>;</w:t>
      </w:r>
      <w:r>
        <w:t xml:space="preserve"> the relatively large sample size</w:t>
      </w:r>
      <w:r w:rsidR="0088106D">
        <w:t xml:space="preserve">, </w:t>
      </w:r>
      <w:r w:rsidR="00353E57">
        <w:t>which</w:t>
      </w:r>
      <w:r>
        <w:t xml:space="preserve"> includ</w:t>
      </w:r>
      <w:r w:rsidR="00353E57">
        <w:t>es</w:t>
      </w:r>
      <w:r>
        <w:t xml:space="preserve"> participants from across Australia</w:t>
      </w:r>
      <w:r w:rsidR="00353E57">
        <w:t>,</w:t>
      </w:r>
      <w:r>
        <w:t xml:space="preserve"> is a clear strength of the LSAY datasets.</w:t>
      </w:r>
    </w:p>
    <w:p w14:paraId="2CBD8661" w14:textId="3C85E5F8" w:rsidR="008A4E15" w:rsidRPr="008F3F35" w:rsidRDefault="00CB0EDA" w:rsidP="002B0CC6">
      <w:pPr>
        <w:pStyle w:val="tabletitle0"/>
      </w:pPr>
      <w:bookmarkStart w:id="63" w:name="_Toc19001659"/>
      <w:r>
        <w:t xml:space="preserve">Table </w:t>
      </w:r>
      <w:r w:rsidR="000E2026">
        <w:t>2</w:t>
      </w:r>
      <w:r>
        <w:tab/>
      </w:r>
      <w:r w:rsidR="008A4E15" w:rsidRPr="008F3F35">
        <w:t>Descriptive statistics</w:t>
      </w:r>
      <w:bookmarkEnd w:id="63"/>
      <w:r w:rsidR="008A4E15" w:rsidRPr="008F3F35">
        <w:t xml:space="preserve"> </w:t>
      </w:r>
    </w:p>
    <w:tbl>
      <w:tblPr>
        <w:tblW w:w="5000" w:type="pct"/>
        <w:tblLook w:val="04A0" w:firstRow="1" w:lastRow="0" w:firstColumn="1" w:lastColumn="0" w:noHBand="0" w:noVBand="1"/>
      </w:tblPr>
      <w:tblGrid>
        <w:gridCol w:w="4059"/>
        <w:gridCol w:w="2427"/>
        <w:gridCol w:w="1451"/>
      </w:tblGrid>
      <w:tr w:rsidR="008A4E15" w:rsidRPr="00DF1477" w14:paraId="4FDBDD2C" w14:textId="77777777" w:rsidTr="00D356A9">
        <w:trPr>
          <w:trHeight w:val="300"/>
        </w:trPr>
        <w:tc>
          <w:tcPr>
            <w:tcW w:w="2557" w:type="pct"/>
            <w:tcBorders>
              <w:top w:val="single" w:sz="4" w:space="0" w:color="auto"/>
              <w:bottom w:val="single" w:sz="4" w:space="0" w:color="auto"/>
            </w:tcBorders>
            <w:shd w:val="clear" w:color="auto" w:fill="auto"/>
            <w:noWrap/>
            <w:vAlign w:val="bottom"/>
            <w:hideMark/>
          </w:tcPr>
          <w:p w14:paraId="7DD8EF2B" w14:textId="77777777" w:rsidR="008A4E15" w:rsidRPr="00BC722E" w:rsidRDefault="008A4E15" w:rsidP="00CB0EDA">
            <w:pPr>
              <w:pStyle w:val="Tabletext"/>
            </w:pPr>
          </w:p>
        </w:tc>
        <w:tc>
          <w:tcPr>
            <w:tcW w:w="1529" w:type="pct"/>
            <w:tcBorders>
              <w:top w:val="single" w:sz="4" w:space="0" w:color="auto"/>
              <w:bottom w:val="single" w:sz="4" w:space="0" w:color="auto"/>
            </w:tcBorders>
            <w:shd w:val="clear" w:color="auto" w:fill="auto"/>
            <w:noWrap/>
            <w:vAlign w:val="bottom"/>
            <w:hideMark/>
          </w:tcPr>
          <w:p w14:paraId="065C4876" w14:textId="77777777" w:rsidR="008A4E15" w:rsidRPr="00183D9F" w:rsidRDefault="008A4E15" w:rsidP="00CA4C6A">
            <w:pPr>
              <w:pStyle w:val="Tabletext"/>
              <w:jc w:val="center"/>
              <w:rPr>
                <w:b/>
              </w:rPr>
            </w:pPr>
            <w:r w:rsidRPr="00183D9F">
              <w:rPr>
                <w:b/>
              </w:rPr>
              <w:t>Frequency</w:t>
            </w:r>
          </w:p>
        </w:tc>
        <w:tc>
          <w:tcPr>
            <w:tcW w:w="914" w:type="pct"/>
            <w:tcBorders>
              <w:top w:val="single" w:sz="4" w:space="0" w:color="auto"/>
              <w:bottom w:val="single" w:sz="4" w:space="0" w:color="auto"/>
            </w:tcBorders>
            <w:shd w:val="clear" w:color="auto" w:fill="auto"/>
            <w:noWrap/>
            <w:vAlign w:val="bottom"/>
            <w:hideMark/>
          </w:tcPr>
          <w:p w14:paraId="1D548E17" w14:textId="77777777" w:rsidR="008A4E15" w:rsidRPr="00183D9F" w:rsidRDefault="008A4E15" w:rsidP="00CB0EDA">
            <w:pPr>
              <w:pStyle w:val="Tabletext"/>
              <w:rPr>
                <w:b/>
              </w:rPr>
            </w:pPr>
            <w:r w:rsidRPr="00183D9F">
              <w:rPr>
                <w:b/>
              </w:rPr>
              <w:t>Percentage (%)</w:t>
            </w:r>
          </w:p>
        </w:tc>
      </w:tr>
      <w:tr w:rsidR="008A4E15" w:rsidRPr="00243908" w14:paraId="1E01B9CC" w14:textId="77777777" w:rsidTr="00D356A9">
        <w:trPr>
          <w:trHeight w:val="300"/>
        </w:trPr>
        <w:tc>
          <w:tcPr>
            <w:tcW w:w="2557" w:type="pct"/>
            <w:tcBorders>
              <w:top w:val="single" w:sz="4" w:space="0" w:color="auto"/>
            </w:tcBorders>
            <w:shd w:val="clear" w:color="auto" w:fill="auto"/>
            <w:noWrap/>
            <w:vAlign w:val="bottom"/>
          </w:tcPr>
          <w:p w14:paraId="40C0D280" w14:textId="77777777" w:rsidR="008A4E15" w:rsidRPr="00BC722E" w:rsidRDefault="008A4E15" w:rsidP="00CA4C6A">
            <w:pPr>
              <w:pStyle w:val="Tabletext"/>
              <w:ind w:right="454"/>
              <w:rPr>
                <w:i/>
              </w:rPr>
            </w:pPr>
            <w:r w:rsidRPr="00BC722E">
              <w:rPr>
                <w:i/>
              </w:rPr>
              <w:t>Gender</w:t>
            </w:r>
          </w:p>
        </w:tc>
        <w:tc>
          <w:tcPr>
            <w:tcW w:w="1529" w:type="pct"/>
            <w:tcBorders>
              <w:top w:val="single" w:sz="4" w:space="0" w:color="auto"/>
            </w:tcBorders>
            <w:shd w:val="clear" w:color="auto" w:fill="auto"/>
            <w:noWrap/>
            <w:vAlign w:val="bottom"/>
          </w:tcPr>
          <w:p w14:paraId="40585975" w14:textId="77777777" w:rsidR="008A4E15" w:rsidRPr="00BC722E" w:rsidRDefault="008A4E15" w:rsidP="00CA4C6A">
            <w:pPr>
              <w:pStyle w:val="Tabletext"/>
              <w:ind w:right="680"/>
              <w:jc w:val="right"/>
            </w:pPr>
          </w:p>
        </w:tc>
        <w:tc>
          <w:tcPr>
            <w:tcW w:w="914" w:type="pct"/>
            <w:tcBorders>
              <w:top w:val="single" w:sz="4" w:space="0" w:color="auto"/>
            </w:tcBorders>
            <w:shd w:val="clear" w:color="auto" w:fill="auto"/>
            <w:noWrap/>
            <w:vAlign w:val="bottom"/>
          </w:tcPr>
          <w:p w14:paraId="186CB8FE" w14:textId="77777777" w:rsidR="008A4E15" w:rsidRPr="00CA4C6A" w:rsidRDefault="008A4E15" w:rsidP="00CA4C6A">
            <w:pPr>
              <w:pStyle w:val="Tabletext"/>
              <w:ind w:right="510"/>
              <w:jc w:val="right"/>
            </w:pPr>
          </w:p>
        </w:tc>
      </w:tr>
      <w:tr w:rsidR="008A4E15" w:rsidRPr="00243908" w14:paraId="7F401169" w14:textId="77777777" w:rsidTr="00D356A9">
        <w:trPr>
          <w:trHeight w:val="300"/>
        </w:trPr>
        <w:tc>
          <w:tcPr>
            <w:tcW w:w="2557" w:type="pct"/>
            <w:shd w:val="clear" w:color="auto" w:fill="auto"/>
            <w:noWrap/>
            <w:vAlign w:val="bottom"/>
            <w:hideMark/>
          </w:tcPr>
          <w:p w14:paraId="43419290" w14:textId="77777777" w:rsidR="008A4E15" w:rsidRPr="00BC722E" w:rsidRDefault="008A4E15" w:rsidP="00CA4C6A">
            <w:pPr>
              <w:pStyle w:val="Tabletext"/>
              <w:ind w:right="454"/>
            </w:pPr>
            <w:r w:rsidRPr="00BC722E">
              <w:t xml:space="preserve">   Female</w:t>
            </w:r>
          </w:p>
        </w:tc>
        <w:tc>
          <w:tcPr>
            <w:tcW w:w="1529" w:type="pct"/>
            <w:shd w:val="clear" w:color="auto" w:fill="auto"/>
            <w:noWrap/>
            <w:vAlign w:val="bottom"/>
            <w:hideMark/>
          </w:tcPr>
          <w:p w14:paraId="45A074C8" w14:textId="5CE9E939" w:rsidR="008A4E15" w:rsidRPr="00BC722E" w:rsidRDefault="008A4E15" w:rsidP="00CA4C6A">
            <w:pPr>
              <w:pStyle w:val="Tabletext"/>
              <w:ind w:right="680"/>
              <w:jc w:val="right"/>
            </w:pPr>
            <w:r w:rsidRPr="00BC722E">
              <w:t>4</w:t>
            </w:r>
            <w:r w:rsidR="00CA4C6A">
              <w:t xml:space="preserve"> </w:t>
            </w:r>
            <w:r w:rsidRPr="00BC722E">
              <w:t>065</w:t>
            </w:r>
          </w:p>
        </w:tc>
        <w:tc>
          <w:tcPr>
            <w:tcW w:w="914" w:type="pct"/>
            <w:shd w:val="clear" w:color="auto" w:fill="auto"/>
            <w:noWrap/>
            <w:vAlign w:val="bottom"/>
            <w:hideMark/>
          </w:tcPr>
          <w:p w14:paraId="37ACE7A9" w14:textId="77777777" w:rsidR="008A4E15" w:rsidRPr="00CA4C6A" w:rsidRDefault="008A4E15" w:rsidP="00CA4C6A">
            <w:pPr>
              <w:pStyle w:val="Tabletext"/>
              <w:ind w:right="510"/>
              <w:jc w:val="right"/>
            </w:pPr>
            <w:r w:rsidRPr="00CA4C6A">
              <w:t>57.44</w:t>
            </w:r>
          </w:p>
        </w:tc>
      </w:tr>
      <w:tr w:rsidR="008A4E15" w:rsidRPr="00243908" w14:paraId="260216FF" w14:textId="77777777" w:rsidTr="00D356A9">
        <w:trPr>
          <w:cantSplit/>
          <w:trHeight w:val="300"/>
        </w:trPr>
        <w:tc>
          <w:tcPr>
            <w:tcW w:w="2557" w:type="pct"/>
            <w:shd w:val="clear" w:color="auto" w:fill="auto"/>
            <w:noWrap/>
            <w:vAlign w:val="bottom"/>
            <w:hideMark/>
          </w:tcPr>
          <w:p w14:paraId="57E8F33C" w14:textId="77777777" w:rsidR="008A4E15" w:rsidRPr="00BC722E" w:rsidRDefault="008A4E15" w:rsidP="00CA4C6A">
            <w:pPr>
              <w:pStyle w:val="Tabletext"/>
              <w:ind w:right="454"/>
            </w:pPr>
            <w:r w:rsidRPr="00BC722E">
              <w:t xml:space="preserve">   Male</w:t>
            </w:r>
          </w:p>
        </w:tc>
        <w:tc>
          <w:tcPr>
            <w:tcW w:w="1529" w:type="pct"/>
            <w:shd w:val="clear" w:color="auto" w:fill="auto"/>
            <w:noWrap/>
            <w:vAlign w:val="bottom"/>
            <w:hideMark/>
          </w:tcPr>
          <w:p w14:paraId="1EC83C03" w14:textId="70648FB4" w:rsidR="008A4E15" w:rsidRPr="00CA4C6A" w:rsidRDefault="008A4E15" w:rsidP="00CA4C6A">
            <w:pPr>
              <w:pStyle w:val="Tabletext"/>
              <w:ind w:right="680"/>
              <w:jc w:val="right"/>
            </w:pPr>
            <w:r w:rsidRPr="00CA4C6A">
              <w:t>3</w:t>
            </w:r>
            <w:r w:rsidR="00CA4C6A">
              <w:t xml:space="preserve"> </w:t>
            </w:r>
            <w:r w:rsidRPr="00CA4C6A">
              <w:t>013</w:t>
            </w:r>
          </w:p>
        </w:tc>
        <w:tc>
          <w:tcPr>
            <w:tcW w:w="914" w:type="pct"/>
            <w:shd w:val="clear" w:color="auto" w:fill="auto"/>
            <w:noWrap/>
            <w:vAlign w:val="bottom"/>
            <w:hideMark/>
          </w:tcPr>
          <w:p w14:paraId="02B2F232" w14:textId="77777777" w:rsidR="008A4E15" w:rsidRPr="00CA4C6A" w:rsidRDefault="008A4E15" w:rsidP="00CA4C6A">
            <w:pPr>
              <w:pStyle w:val="Tabletext"/>
              <w:ind w:right="510"/>
              <w:jc w:val="right"/>
            </w:pPr>
            <w:r w:rsidRPr="00CA4C6A">
              <w:t>42.56</w:t>
            </w:r>
          </w:p>
        </w:tc>
      </w:tr>
      <w:tr w:rsidR="008A4E15" w:rsidRPr="00243908" w14:paraId="4B28AF25" w14:textId="77777777" w:rsidTr="00D356A9">
        <w:trPr>
          <w:cantSplit/>
          <w:trHeight w:val="300"/>
        </w:trPr>
        <w:tc>
          <w:tcPr>
            <w:tcW w:w="2557" w:type="pct"/>
            <w:shd w:val="clear" w:color="auto" w:fill="auto"/>
            <w:noWrap/>
            <w:vAlign w:val="bottom"/>
          </w:tcPr>
          <w:p w14:paraId="3938FC45" w14:textId="77777777" w:rsidR="008A4E15" w:rsidRPr="00BC722E" w:rsidRDefault="008A4E15" w:rsidP="00CA4C6A">
            <w:pPr>
              <w:pStyle w:val="Tabletext"/>
              <w:ind w:right="454"/>
              <w:rPr>
                <w:i/>
              </w:rPr>
            </w:pPr>
            <w:r w:rsidRPr="00BC722E">
              <w:rPr>
                <w:i/>
              </w:rPr>
              <w:t>Indigenous status</w:t>
            </w:r>
          </w:p>
        </w:tc>
        <w:tc>
          <w:tcPr>
            <w:tcW w:w="1529" w:type="pct"/>
            <w:shd w:val="clear" w:color="auto" w:fill="auto"/>
            <w:noWrap/>
            <w:vAlign w:val="bottom"/>
          </w:tcPr>
          <w:p w14:paraId="5A32C66C" w14:textId="77777777" w:rsidR="008A4E15" w:rsidRPr="00BC722E" w:rsidRDefault="008A4E15" w:rsidP="00CA4C6A">
            <w:pPr>
              <w:pStyle w:val="Tabletext"/>
              <w:ind w:right="680"/>
              <w:jc w:val="right"/>
            </w:pPr>
          </w:p>
        </w:tc>
        <w:tc>
          <w:tcPr>
            <w:tcW w:w="914" w:type="pct"/>
            <w:shd w:val="clear" w:color="auto" w:fill="auto"/>
            <w:noWrap/>
            <w:vAlign w:val="bottom"/>
          </w:tcPr>
          <w:p w14:paraId="68F2F187" w14:textId="77777777" w:rsidR="008A4E15" w:rsidRPr="00CA4C6A" w:rsidRDefault="008A4E15" w:rsidP="00CA4C6A">
            <w:pPr>
              <w:pStyle w:val="Tabletext"/>
              <w:ind w:right="510"/>
              <w:jc w:val="right"/>
            </w:pPr>
          </w:p>
        </w:tc>
      </w:tr>
      <w:tr w:rsidR="008A4E15" w:rsidRPr="00243908" w14:paraId="481D0E42" w14:textId="77777777" w:rsidTr="00D356A9">
        <w:trPr>
          <w:trHeight w:val="300"/>
        </w:trPr>
        <w:tc>
          <w:tcPr>
            <w:tcW w:w="2557" w:type="pct"/>
            <w:shd w:val="clear" w:color="auto" w:fill="auto"/>
            <w:noWrap/>
            <w:vAlign w:val="bottom"/>
            <w:hideMark/>
          </w:tcPr>
          <w:p w14:paraId="72D3F5E1" w14:textId="77777777" w:rsidR="008A4E15" w:rsidRPr="00BC722E" w:rsidRDefault="008A4E15" w:rsidP="00CA4C6A">
            <w:pPr>
              <w:pStyle w:val="Tabletext"/>
              <w:ind w:right="454"/>
            </w:pPr>
            <w:r w:rsidRPr="00BC722E">
              <w:t xml:space="preserve">   Non-Indigenous</w:t>
            </w:r>
          </w:p>
        </w:tc>
        <w:tc>
          <w:tcPr>
            <w:tcW w:w="1529" w:type="pct"/>
            <w:shd w:val="clear" w:color="auto" w:fill="auto"/>
            <w:noWrap/>
            <w:vAlign w:val="bottom"/>
            <w:hideMark/>
          </w:tcPr>
          <w:p w14:paraId="488CB7F7" w14:textId="018BEF36" w:rsidR="008A4E15" w:rsidRPr="00BC722E" w:rsidRDefault="008A4E15" w:rsidP="00CA4C6A">
            <w:pPr>
              <w:pStyle w:val="Tabletext"/>
              <w:ind w:right="680"/>
              <w:jc w:val="right"/>
            </w:pPr>
            <w:r w:rsidRPr="00BC722E">
              <w:t>6</w:t>
            </w:r>
            <w:r w:rsidR="00CA4C6A">
              <w:t xml:space="preserve"> </w:t>
            </w:r>
            <w:r w:rsidRPr="00BC722E">
              <w:t>716</w:t>
            </w:r>
          </w:p>
        </w:tc>
        <w:tc>
          <w:tcPr>
            <w:tcW w:w="914" w:type="pct"/>
            <w:shd w:val="clear" w:color="auto" w:fill="auto"/>
            <w:noWrap/>
            <w:vAlign w:val="bottom"/>
            <w:hideMark/>
          </w:tcPr>
          <w:p w14:paraId="597A690D" w14:textId="77777777" w:rsidR="008A4E15" w:rsidRPr="00CA4C6A" w:rsidRDefault="008A4E15" w:rsidP="00CA4C6A">
            <w:pPr>
              <w:pStyle w:val="Tabletext"/>
              <w:ind w:right="510"/>
              <w:jc w:val="right"/>
            </w:pPr>
            <w:r w:rsidRPr="00CA4C6A">
              <w:t>94.88</w:t>
            </w:r>
          </w:p>
        </w:tc>
      </w:tr>
      <w:tr w:rsidR="008A4E15" w:rsidRPr="00243908" w14:paraId="09C8AB97" w14:textId="77777777" w:rsidTr="00D356A9">
        <w:trPr>
          <w:cantSplit/>
          <w:trHeight w:val="300"/>
        </w:trPr>
        <w:tc>
          <w:tcPr>
            <w:tcW w:w="2557" w:type="pct"/>
            <w:shd w:val="clear" w:color="auto" w:fill="auto"/>
            <w:noWrap/>
            <w:vAlign w:val="bottom"/>
            <w:hideMark/>
          </w:tcPr>
          <w:p w14:paraId="1DB8E174" w14:textId="77777777" w:rsidR="008A4E15" w:rsidRPr="00BC722E" w:rsidRDefault="008A4E15" w:rsidP="00CA4C6A">
            <w:pPr>
              <w:pStyle w:val="Tabletext"/>
              <w:ind w:right="454"/>
            </w:pPr>
            <w:r w:rsidRPr="00BC722E">
              <w:t xml:space="preserve">   Indigenous</w:t>
            </w:r>
          </w:p>
        </w:tc>
        <w:tc>
          <w:tcPr>
            <w:tcW w:w="1529" w:type="pct"/>
            <w:shd w:val="clear" w:color="auto" w:fill="auto"/>
            <w:noWrap/>
            <w:vAlign w:val="bottom"/>
            <w:hideMark/>
          </w:tcPr>
          <w:p w14:paraId="58ADF30F" w14:textId="77777777" w:rsidR="008A4E15" w:rsidRPr="00BC722E" w:rsidRDefault="008A4E15" w:rsidP="00CA4C6A">
            <w:pPr>
              <w:pStyle w:val="Tabletext"/>
              <w:ind w:right="680"/>
              <w:jc w:val="right"/>
            </w:pPr>
            <w:r w:rsidRPr="00BC722E">
              <w:t>362</w:t>
            </w:r>
          </w:p>
        </w:tc>
        <w:tc>
          <w:tcPr>
            <w:tcW w:w="914" w:type="pct"/>
            <w:shd w:val="clear" w:color="auto" w:fill="auto"/>
            <w:noWrap/>
            <w:vAlign w:val="bottom"/>
            <w:hideMark/>
          </w:tcPr>
          <w:p w14:paraId="24527113" w14:textId="77777777" w:rsidR="008A4E15" w:rsidRPr="00CA4C6A" w:rsidRDefault="008A4E15" w:rsidP="00CA4C6A">
            <w:pPr>
              <w:pStyle w:val="Tabletext"/>
              <w:ind w:right="510"/>
              <w:jc w:val="right"/>
            </w:pPr>
            <w:r w:rsidRPr="00CA4C6A">
              <w:t>5.12</w:t>
            </w:r>
          </w:p>
        </w:tc>
      </w:tr>
      <w:tr w:rsidR="008A4E15" w:rsidRPr="00243908" w14:paraId="121BFC8F" w14:textId="77777777" w:rsidTr="00D356A9">
        <w:trPr>
          <w:trHeight w:val="300"/>
        </w:trPr>
        <w:tc>
          <w:tcPr>
            <w:tcW w:w="2557" w:type="pct"/>
            <w:shd w:val="clear" w:color="auto" w:fill="auto"/>
            <w:noWrap/>
            <w:vAlign w:val="bottom"/>
            <w:hideMark/>
          </w:tcPr>
          <w:p w14:paraId="726B707B" w14:textId="77777777" w:rsidR="008A4E15" w:rsidRPr="00BC722E" w:rsidRDefault="008A4E15" w:rsidP="00CA4C6A">
            <w:pPr>
              <w:pStyle w:val="Tabletext"/>
              <w:ind w:right="454"/>
              <w:rPr>
                <w:i/>
              </w:rPr>
            </w:pPr>
            <w:r>
              <w:rPr>
                <w:i/>
              </w:rPr>
              <w:t>Ancestry/background</w:t>
            </w:r>
          </w:p>
        </w:tc>
        <w:tc>
          <w:tcPr>
            <w:tcW w:w="1529" w:type="pct"/>
            <w:shd w:val="clear" w:color="auto" w:fill="auto"/>
            <w:noWrap/>
            <w:vAlign w:val="bottom"/>
            <w:hideMark/>
          </w:tcPr>
          <w:p w14:paraId="1EC71A78" w14:textId="77777777" w:rsidR="008A4E15" w:rsidRPr="00BC722E" w:rsidRDefault="008A4E15" w:rsidP="00CA4C6A">
            <w:pPr>
              <w:pStyle w:val="Tabletext"/>
              <w:ind w:right="680"/>
              <w:jc w:val="right"/>
            </w:pPr>
          </w:p>
        </w:tc>
        <w:tc>
          <w:tcPr>
            <w:tcW w:w="914" w:type="pct"/>
            <w:shd w:val="clear" w:color="auto" w:fill="auto"/>
            <w:noWrap/>
            <w:vAlign w:val="bottom"/>
            <w:hideMark/>
          </w:tcPr>
          <w:p w14:paraId="574F23C4" w14:textId="77777777" w:rsidR="008A4E15" w:rsidRPr="00CA4C6A" w:rsidRDefault="008A4E15" w:rsidP="00CA4C6A">
            <w:pPr>
              <w:pStyle w:val="Tabletext"/>
              <w:ind w:right="510"/>
              <w:jc w:val="right"/>
            </w:pPr>
          </w:p>
        </w:tc>
      </w:tr>
      <w:tr w:rsidR="008A4E15" w:rsidRPr="00243908" w14:paraId="08843361" w14:textId="77777777" w:rsidTr="00D356A9">
        <w:trPr>
          <w:trHeight w:val="300"/>
        </w:trPr>
        <w:tc>
          <w:tcPr>
            <w:tcW w:w="2557" w:type="pct"/>
            <w:shd w:val="clear" w:color="auto" w:fill="auto"/>
            <w:noWrap/>
            <w:vAlign w:val="bottom"/>
            <w:hideMark/>
          </w:tcPr>
          <w:p w14:paraId="56B4B212" w14:textId="77777777" w:rsidR="008A4E15" w:rsidRPr="00BC722E" w:rsidRDefault="008A4E15" w:rsidP="00CA4C6A">
            <w:pPr>
              <w:pStyle w:val="Tabletext"/>
              <w:ind w:right="454"/>
            </w:pPr>
            <w:r w:rsidRPr="00BC722E">
              <w:t xml:space="preserve">   Australian-born</w:t>
            </w:r>
          </w:p>
        </w:tc>
        <w:tc>
          <w:tcPr>
            <w:tcW w:w="1529" w:type="pct"/>
            <w:shd w:val="clear" w:color="auto" w:fill="auto"/>
            <w:noWrap/>
            <w:vAlign w:val="bottom"/>
            <w:hideMark/>
          </w:tcPr>
          <w:p w14:paraId="6D203840" w14:textId="28167B7B" w:rsidR="008A4E15" w:rsidRPr="00BC722E" w:rsidRDefault="008A4E15" w:rsidP="00CA4C6A">
            <w:pPr>
              <w:pStyle w:val="Tabletext"/>
              <w:ind w:right="680"/>
              <w:jc w:val="right"/>
            </w:pPr>
            <w:r w:rsidRPr="00BC722E">
              <w:t>4</w:t>
            </w:r>
            <w:r w:rsidR="00CA4C6A">
              <w:t xml:space="preserve"> </w:t>
            </w:r>
            <w:r w:rsidRPr="00BC722E">
              <w:t>151</w:t>
            </w:r>
          </w:p>
        </w:tc>
        <w:tc>
          <w:tcPr>
            <w:tcW w:w="914" w:type="pct"/>
            <w:shd w:val="clear" w:color="auto" w:fill="auto"/>
            <w:noWrap/>
            <w:vAlign w:val="bottom"/>
            <w:hideMark/>
          </w:tcPr>
          <w:p w14:paraId="081AD5AE" w14:textId="77777777" w:rsidR="008A4E15" w:rsidRPr="00CA4C6A" w:rsidRDefault="008A4E15" w:rsidP="00CA4C6A">
            <w:pPr>
              <w:pStyle w:val="Tabletext"/>
              <w:ind w:right="510"/>
              <w:jc w:val="right"/>
            </w:pPr>
            <w:r w:rsidRPr="00CA4C6A">
              <w:t>58.64</w:t>
            </w:r>
          </w:p>
        </w:tc>
      </w:tr>
      <w:tr w:rsidR="008A4E15" w:rsidRPr="00243908" w14:paraId="1833C2F4" w14:textId="77777777" w:rsidTr="00D356A9">
        <w:trPr>
          <w:cantSplit/>
          <w:trHeight w:val="300"/>
        </w:trPr>
        <w:tc>
          <w:tcPr>
            <w:tcW w:w="2557" w:type="pct"/>
            <w:shd w:val="clear" w:color="auto" w:fill="auto"/>
            <w:noWrap/>
            <w:vAlign w:val="bottom"/>
            <w:hideMark/>
          </w:tcPr>
          <w:p w14:paraId="52B3C86F" w14:textId="77777777" w:rsidR="008A4E15" w:rsidRPr="00BC722E" w:rsidRDefault="008A4E15" w:rsidP="00CA4C6A">
            <w:pPr>
              <w:pStyle w:val="Tabletext"/>
              <w:ind w:right="454"/>
            </w:pPr>
            <w:r w:rsidRPr="00BC722E">
              <w:t xml:space="preserve">   First generation</w:t>
            </w:r>
          </w:p>
        </w:tc>
        <w:tc>
          <w:tcPr>
            <w:tcW w:w="1529" w:type="pct"/>
            <w:shd w:val="clear" w:color="auto" w:fill="auto"/>
            <w:noWrap/>
            <w:vAlign w:val="bottom"/>
            <w:hideMark/>
          </w:tcPr>
          <w:p w14:paraId="561D2D01" w14:textId="41926416" w:rsidR="008A4E15" w:rsidRPr="00BC722E" w:rsidRDefault="008A4E15" w:rsidP="00CA4C6A">
            <w:pPr>
              <w:pStyle w:val="Tabletext"/>
              <w:ind w:right="680"/>
              <w:jc w:val="right"/>
            </w:pPr>
            <w:r w:rsidRPr="00BC722E">
              <w:t>2</w:t>
            </w:r>
            <w:r w:rsidR="00CA4C6A">
              <w:t xml:space="preserve"> </w:t>
            </w:r>
            <w:r w:rsidRPr="00BC722E">
              <w:t>274</w:t>
            </w:r>
          </w:p>
        </w:tc>
        <w:tc>
          <w:tcPr>
            <w:tcW w:w="914" w:type="pct"/>
            <w:shd w:val="clear" w:color="auto" w:fill="auto"/>
            <w:noWrap/>
            <w:vAlign w:val="bottom"/>
            <w:hideMark/>
          </w:tcPr>
          <w:p w14:paraId="385461AC" w14:textId="77777777" w:rsidR="008A4E15" w:rsidRPr="00CA4C6A" w:rsidRDefault="008A4E15" w:rsidP="00CA4C6A">
            <w:pPr>
              <w:pStyle w:val="Tabletext"/>
              <w:ind w:right="510"/>
              <w:jc w:val="right"/>
            </w:pPr>
            <w:r w:rsidRPr="00CA4C6A">
              <w:t>32.13</w:t>
            </w:r>
          </w:p>
        </w:tc>
      </w:tr>
      <w:tr w:rsidR="008A4E15" w:rsidRPr="00243908" w14:paraId="3F704293" w14:textId="77777777" w:rsidTr="00D356A9">
        <w:trPr>
          <w:cantSplit/>
          <w:trHeight w:val="300"/>
        </w:trPr>
        <w:tc>
          <w:tcPr>
            <w:tcW w:w="2557" w:type="pct"/>
            <w:shd w:val="clear" w:color="auto" w:fill="auto"/>
            <w:noWrap/>
            <w:vAlign w:val="bottom"/>
          </w:tcPr>
          <w:p w14:paraId="14CAB85A" w14:textId="77777777" w:rsidR="008A4E15" w:rsidRPr="00BC722E" w:rsidRDefault="008A4E15" w:rsidP="00CA4C6A">
            <w:pPr>
              <w:pStyle w:val="Tabletext"/>
              <w:ind w:right="454"/>
            </w:pPr>
            <w:r w:rsidRPr="00BC722E">
              <w:t xml:space="preserve">   Foreign-born </w:t>
            </w:r>
          </w:p>
        </w:tc>
        <w:tc>
          <w:tcPr>
            <w:tcW w:w="1529" w:type="pct"/>
            <w:shd w:val="clear" w:color="auto" w:fill="auto"/>
            <w:noWrap/>
            <w:vAlign w:val="bottom"/>
          </w:tcPr>
          <w:p w14:paraId="400F0087" w14:textId="12FAFB96" w:rsidR="008A4E15" w:rsidRPr="00BC722E" w:rsidRDefault="008A4E15" w:rsidP="00CA4C6A">
            <w:pPr>
              <w:pStyle w:val="Tabletext"/>
              <w:ind w:right="680"/>
              <w:jc w:val="right"/>
            </w:pPr>
            <w:r w:rsidRPr="00BC722E">
              <w:t>6</w:t>
            </w:r>
            <w:r w:rsidR="00CA4C6A">
              <w:t xml:space="preserve"> </w:t>
            </w:r>
            <w:r w:rsidRPr="00BC722E">
              <w:t>53</w:t>
            </w:r>
          </w:p>
        </w:tc>
        <w:tc>
          <w:tcPr>
            <w:tcW w:w="914" w:type="pct"/>
            <w:shd w:val="clear" w:color="auto" w:fill="auto"/>
            <w:noWrap/>
            <w:vAlign w:val="bottom"/>
          </w:tcPr>
          <w:p w14:paraId="1A941EDA" w14:textId="77777777" w:rsidR="008A4E15" w:rsidRPr="00CA4C6A" w:rsidRDefault="008A4E15" w:rsidP="00CA4C6A">
            <w:pPr>
              <w:pStyle w:val="Tabletext"/>
              <w:ind w:right="510"/>
              <w:jc w:val="right"/>
            </w:pPr>
            <w:r w:rsidRPr="00CA4C6A">
              <w:t>9.23</w:t>
            </w:r>
          </w:p>
        </w:tc>
      </w:tr>
      <w:tr w:rsidR="008A4E15" w:rsidRPr="00243908" w14:paraId="688604C9" w14:textId="77777777" w:rsidTr="00D356A9">
        <w:trPr>
          <w:cantSplit/>
          <w:trHeight w:val="300"/>
        </w:trPr>
        <w:tc>
          <w:tcPr>
            <w:tcW w:w="2557" w:type="pct"/>
            <w:shd w:val="clear" w:color="auto" w:fill="auto"/>
            <w:noWrap/>
            <w:vAlign w:val="bottom"/>
          </w:tcPr>
          <w:p w14:paraId="50B6CFC7" w14:textId="77777777" w:rsidR="008A4E15" w:rsidRPr="00BC722E" w:rsidRDefault="008A4E15" w:rsidP="00CA4C6A">
            <w:pPr>
              <w:pStyle w:val="Tabletext"/>
              <w:ind w:right="454"/>
              <w:rPr>
                <w:lang w:eastAsia="en-AU"/>
              </w:rPr>
            </w:pPr>
            <w:r w:rsidRPr="00BC722E">
              <w:rPr>
                <w:i/>
              </w:rPr>
              <w:t>Self-reported participation in Science</w:t>
            </w:r>
          </w:p>
        </w:tc>
        <w:tc>
          <w:tcPr>
            <w:tcW w:w="1529" w:type="pct"/>
            <w:shd w:val="clear" w:color="auto" w:fill="auto"/>
            <w:noWrap/>
            <w:vAlign w:val="bottom"/>
          </w:tcPr>
          <w:p w14:paraId="104DDEFC" w14:textId="77777777" w:rsidR="008A4E15" w:rsidRPr="00BC722E" w:rsidRDefault="008A4E15" w:rsidP="00CA4C6A">
            <w:pPr>
              <w:pStyle w:val="Tabletext"/>
              <w:ind w:right="680"/>
              <w:jc w:val="right"/>
            </w:pPr>
          </w:p>
        </w:tc>
        <w:tc>
          <w:tcPr>
            <w:tcW w:w="914" w:type="pct"/>
            <w:shd w:val="clear" w:color="auto" w:fill="auto"/>
            <w:noWrap/>
            <w:vAlign w:val="bottom"/>
          </w:tcPr>
          <w:p w14:paraId="16702D49" w14:textId="77777777" w:rsidR="008A4E15" w:rsidRPr="00CA4C6A" w:rsidRDefault="008A4E15" w:rsidP="00CA4C6A">
            <w:pPr>
              <w:pStyle w:val="Tabletext"/>
              <w:ind w:right="510"/>
              <w:jc w:val="right"/>
            </w:pPr>
          </w:p>
        </w:tc>
      </w:tr>
      <w:tr w:rsidR="008A4E15" w:rsidRPr="00243908" w14:paraId="173CD221" w14:textId="77777777" w:rsidTr="00D356A9">
        <w:trPr>
          <w:cantSplit/>
          <w:trHeight w:val="300"/>
        </w:trPr>
        <w:tc>
          <w:tcPr>
            <w:tcW w:w="2557" w:type="pct"/>
            <w:shd w:val="clear" w:color="auto" w:fill="auto"/>
            <w:noWrap/>
            <w:vAlign w:val="bottom"/>
          </w:tcPr>
          <w:p w14:paraId="787286DB" w14:textId="77777777" w:rsidR="008A4E15" w:rsidRPr="00BC722E" w:rsidRDefault="008A4E15" w:rsidP="00CA4C6A">
            <w:pPr>
              <w:pStyle w:val="Tabletext"/>
              <w:ind w:right="454"/>
            </w:pPr>
            <w:r w:rsidRPr="00BC722E">
              <w:t xml:space="preserve">   Yes</w:t>
            </w:r>
          </w:p>
        </w:tc>
        <w:tc>
          <w:tcPr>
            <w:tcW w:w="1529" w:type="pct"/>
            <w:shd w:val="clear" w:color="auto" w:fill="auto"/>
            <w:noWrap/>
            <w:vAlign w:val="bottom"/>
          </w:tcPr>
          <w:p w14:paraId="5CAC78B7" w14:textId="21714F46" w:rsidR="008A4E15" w:rsidRPr="00BC722E" w:rsidRDefault="008A4E15" w:rsidP="00CA4C6A">
            <w:pPr>
              <w:pStyle w:val="Tabletext"/>
              <w:ind w:right="680"/>
              <w:jc w:val="right"/>
            </w:pPr>
            <w:r w:rsidRPr="00BC722E">
              <w:t>4</w:t>
            </w:r>
            <w:r w:rsidR="00CA4C6A">
              <w:t xml:space="preserve"> </w:t>
            </w:r>
            <w:r w:rsidRPr="00BC722E">
              <w:t>150</w:t>
            </w:r>
          </w:p>
        </w:tc>
        <w:tc>
          <w:tcPr>
            <w:tcW w:w="914" w:type="pct"/>
            <w:shd w:val="clear" w:color="auto" w:fill="auto"/>
            <w:noWrap/>
            <w:vAlign w:val="bottom"/>
          </w:tcPr>
          <w:p w14:paraId="5F9FF9BE" w14:textId="77777777" w:rsidR="008A4E15" w:rsidRPr="00CA4C6A" w:rsidRDefault="008A4E15" w:rsidP="00CA4C6A">
            <w:pPr>
              <w:pStyle w:val="Tabletext"/>
              <w:ind w:right="510"/>
              <w:jc w:val="right"/>
            </w:pPr>
            <w:r w:rsidRPr="00CA4C6A">
              <w:t>58.63</w:t>
            </w:r>
          </w:p>
        </w:tc>
      </w:tr>
      <w:tr w:rsidR="008A4E15" w:rsidRPr="00243908" w14:paraId="3B90A6AD" w14:textId="77777777" w:rsidTr="008B7F21">
        <w:trPr>
          <w:cantSplit/>
          <w:trHeight w:val="300"/>
        </w:trPr>
        <w:tc>
          <w:tcPr>
            <w:tcW w:w="2557" w:type="pct"/>
            <w:tcBorders>
              <w:bottom w:val="single" w:sz="4" w:space="0" w:color="auto"/>
            </w:tcBorders>
            <w:shd w:val="clear" w:color="auto" w:fill="auto"/>
            <w:noWrap/>
            <w:vAlign w:val="bottom"/>
          </w:tcPr>
          <w:p w14:paraId="1356093E" w14:textId="77777777" w:rsidR="008A4E15" w:rsidRPr="00BC722E" w:rsidRDefault="008A4E15" w:rsidP="00CA4C6A">
            <w:pPr>
              <w:pStyle w:val="Tabletext"/>
              <w:ind w:right="454"/>
            </w:pPr>
            <w:r w:rsidRPr="00BC722E">
              <w:t xml:space="preserve">   No</w:t>
            </w:r>
          </w:p>
        </w:tc>
        <w:tc>
          <w:tcPr>
            <w:tcW w:w="1529" w:type="pct"/>
            <w:tcBorders>
              <w:bottom w:val="single" w:sz="4" w:space="0" w:color="auto"/>
            </w:tcBorders>
            <w:shd w:val="clear" w:color="auto" w:fill="auto"/>
            <w:noWrap/>
            <w:vAlign w:val="bottom"/>
          </w:tcPr>
          <w:p w14:paraId="66AD4D6A" w14:textId="74A96414" w:rsidR="008A4E15" w:rsidRPr="00BC722E" w:rsidRDefault="008A4E15" w:rsidP="00CA4C6A">
            <w:pPr>
              <w:pStyle w:val="Tabletext"/>
              <w:ind w:right="680"/>
              <w:jc w:val="right"/>
            </w:pPr>
            <w:r w:rsidRPr="00BC722E">
              <w:t>2</w:t>
            </w:r>
            <w:r w:rsidR="00CA4C6A">
              <w:t xml:space="preserve"> </w:t>
            </w:r>
            <w:r w:rsidRPr="00BC722E">
              <w:t>928</w:t>
            </w:r>
          </w:p>
        </w:tc>
        <w:tc>
          <w:tcPr>
            <w:tcW w:w="914" w:type="pct"/>
            <w:tcBorders>
              <w:bottom w:val="single" w:sz="4" w:space="0" w:color="auto"/>
            </w:tcBorders>
            <w:shd w:val="clear" w:color="auto" w:fill="auto"/>
            <w:noWrap/>
            <w:vAlign w:val="bottom"/>
          </w:tcPr>
          <w:p w14:paraId="217FB6B3" w14:textId="77777777" w:rsidR="008A4E15" w:rsidRPr="00CA4C6A" w:rsidRDefault="008A4E15" w:rsidP="00CA4C6A">
            <w:pPr>
              <w:pStyle w:val="Tabletext"/>
              <w:ind w:right="510"/>
              <w:jc w:val="right"/>
            </w:pPr>
            <w:r w:rsidRPr="00CA4C6A">
              <w:t>41.37</w:t>
            </w:r>
          </w:p>
        </w:tc>
      </w:tr>
    </w:tbl>
    <w:p w14:paraId="78EAC26C" w14:textId="2D79C338" w:rsidR="008B7F21" w:rsidRDefault="002B393A" w:rsidP="005C3C9C">
      <w:pPr>
        <w:pStyle w:val="Source"/>
        <w:ind w:left="0" w:right="454" w:firstLine="0"/>
      </w:pPr>
      <w:r>
        <w:t xml:space="preserve">Source: </w:t>
      </w:r>
      <w:r w:rsidR="004A4102">
        <w:t xml:space="preserve">Cooper, Berry and </w:t>
      </w:r>
      <w:proofErr w:type="spellStart"/>
      <w:r w:rsidR="004A4102">
        <w:t>Baglin</w:t>
      </w:r>
      <w:proofErr w:type="spellEnd"/>
      <w:r w:rsidR="004A4102">
        <w:t xml:space="preserve"> (2018). </w:t>
      </w:r>
      <w:r w:rsidR="008B7F21" w:rsidRPr="005412B8">
        <w:t xml:space="preserve">Reprinted </w:t>
      </w:r>
      <w:r w:rsidR="004A4102">
        <w:t>with</w:t>
      </w:r>
      <w:r w:rsidR="008B7F21" w:rsidRPr="005412B8">
        <w:t xml:space="preserve"> permission from Copyright clearance </w:t>
      </w:r>
      <w:proofErr w:type="spellStart"/>
      <w:r w:rsidR="008B7F21" w:rsidRPr="005412B8">
        <w:t>center</w:t>
      </w:r>
      <w:proofErr w:type="spellEnd"/>
      <w:r w:rsidR="008B7F21" w:rsidRPr="005412B8">
        <w:t xml:space="preserve">: Springer Nature, Research in Science Education </w:t>
      </w:r>
      <w:r w:rsidR="008B7F21" w:rsidRPr="001A751C">
        <w:t>© 2018</w:t>
      </w:r>
      <w:r w:rsidR="004A4102">
        <w:t>.</w:t>
      </w:r>
      <w:r w:rsidR="008B7F21">
        <w:t xml:space="preserve"> </w:t>
      </w:r>
    </w:p>
    <w:p w14:paraId="2311F1FE" w14:textId="26151867" w:rsidR="008A4E15" w:rsidRDefault="008A4E15" w:rsidP="006563EB">
      <w:pPr>
        <w:pStyle w:val="Text"/>
      </w:pPr>
      <w:r>
        <w:t xml:space="preserve">Multiple logistic regression was the technique used for analysis. Odds ratios (OR) are reported in </w:t>
      </w:r>
      <w:r w:rsidR="00D83211">
        <w:t>t</w:t>
      </w:r>
      <w:r>
        <w:t xml:space="preserve">able </w:t>
      </w:r>
      <w:r w:rsidR="000E2026">
        <w:t>3</w:t>
      </w:r>
      <w:r w:rsidR="00C8221C">
        <w:t xml:space="preserve"> and</w:t>
      </w:r>
      <w:r>
        <w:t xml:space="preserve"> measur</w:t>
      </w:r>
      <w:r w:rsidR="00C8221C">
        <w:t>e</w:t>
      </w:r>
      <w:r>
        <w:t xml:space="preserve"> the degree of association between each predictor and the outcome. This model was statistically significant (</w:t>
      </w:r>
      <w:r>
        <w:rPr>
          <w:i/>
        </w:rPr>
        <w:t>Χ</w:t>
      </w:r>
      <w:r>
        <w:rPr>
          <w:vertAlign w:val="superscript"/>
        </w:rPr>
        <w:t>2</w:t>
      </w:r>
      <w:r>
        <w:t xml:space="preserve">(5) = 269.79, </w:t>
      </w:r>
      <w:r>
        <w:rPr>
          <w:i/>
        </w:rPr>
        <w:t>p</w:t>
      </w:r>
      <w:r>
        <w:t xml:space="preserve"> &lt; .001). The predictors explained 5% (</w:t>
      </w:r>
      <w:proofErr w:type="spellStart"/>
      <w:r>
        <w:t>Nagelkerke</w:t>
      </w:r>
      <w:proofErr w:type="spellEnd"/>
      <w:r>
        <w:t xml:space="preserve"> </w:t>
      </w:r>
      <w:r>
        <w:rPr>
          <w:i/>
        </w:rPr>
        <w:t>R</w:t>
      </w:r>
      <w:r>
        <w:rPr>
          <w:vertAlign w:val="superscript"/>
        </w:rPr>
        <w:t>2</w:t>
      </w:r>
      <w:r>
        <w:t>) of the variance in students’ post-16 science participation and correctly classified 60.9% of cases (relative to 58.6% when no independent variables were added).</w:t>
      </w:r>
    </w:p>
    <w:p w14:paraId="027D5001" w14:textId="6C3E3C8F" w:rsidR="008A4E15" w:rsidRDefault="008A4E15" w:rsidP="006563EB">
      <w:pPr>
        <w:pStyle w:val="Text"/>
      </w:pPr>
      <w:r>
        <w:t xml:space="preserve">The results indicated that SES was a significant predictor of students’ post-16 science participation (OR = 1.51). Also, Indigenous students were significantly less likely than non-Indigenous students to report post-16 participation in a science subject (OR = .53). There </w:t>
      </w:r>
      <w:r>
        <w:lastRenderedPageBreak/>
        <w:t xml:space="preserve">was however a non-significant difference in the odds of females (compared </w:t>
      </w:r>
      <w:r w:rsidR="00730E43">
        <w:t>with</w:t>
      </w:r>
      <w:r>
        <w:t xml:space="preserve"> males) reporting participation in a science subject (OR = 1.03). Compared </w:t>
      </w:r>
      <w:r w:rsidR="00730E43">
        <w:t>with</w:t>
      </w:r>
      <w:r>
        <w:t xml:space="preserve"> Australian-background students, first-generation students were more likely to report participation in a science subject (OR = 1.35). Furthermore, foreign-background students were</w:t>
      </w:r>
      <w:r w:rsidR="00A678DD">
        <w:t xml:space="preserve"> also</w:t>
      </w:r>
      <w:r>
        <w:t xml:space="preserve"> significantly more likely to report participation in a science subject than those from an Australian background (OR = 1.68).</w:t>
      </w:r>
    </w:p>
    <w:p w14:paraId="7F5690B7" w14:textId="6698983A" w:rsidR="008A4E15" w:rsidRPr="008F3F35" w:rsidRDefault="00CB0EDA" w:rsidP="002B0CC6">
      <w:pPr>
        <w:pStyle w:val="tabletitle0"/>
      </w:pPr>
      <w:bookmarkStart w:id="64" w:name="_Toc19001660"/>
      <w:r>
        <w:t xml:space="preserve">Table </w:t>
      </w:r>
      <w:r w:rsidR="000E2026">
        <w:t xml:space="preserve">3 </w:t>
      </w:r>
      <w:r>
        <w:tab/>
      </w:r>
      <w:r w:rsidR="008A4E15" w:rsidRPr="008F3F35">
        <w:t>Results of logistic regression predicting students’ participation in a science subject</w:t>
      </w:r>
      <w:bookmarkEnd w:id="6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5"/>
        <w:gridCol w:w="543"/>
        <w:gridCol w:w="876"/>
        <w:gridCol w:w="1265"/>
        <w:gridCol w:w="837"/>
        <w:gridCol w:w="792"/>
        <w:gridCol w:w="891"/>
        <w:gridCol w:w="744"/>
        <w:gridCol w:w="744"/>
      </w:tblGrid>
      <w:tr w:rsidR="008A4E15" w:rsidRPr="00183D9F" w14:paraId="5E49BC90" w14:textId="77777777" w:rsidTr="00D356A9">
        <w:tc>
          <w:tcPr>
            <w:tcW w:w="784" w:type="pct"/>
            <w:tcBorders>
              <w:top w:val="single" w:sz="4" w:space="0" w:color="auto"/>
              <w:bottom w:val="single" w:sz="4" w:space="0" w:color="auto"/>
            </w:tcBorders>
          </w:tcPr>
          <w:p w14:paraId="36FAC454" w14:textId="77777777" w:rsidR="008A4E15" w:rsidRPr="00BC722E" w:rsidRDefault="008A4E15" w:rsidP="008B7F21">
            <w:pPr>
              <w:pStyle w:val="Tabletext"/>
            </w:pPr>
          </w:p>
        </w:tc>
        <w:tc>
          <w:tcPr>
            <w:tcW w:w="342" w:type="pct"/>
            <w:tcBorders>
              <w:top w:val="single" w:sz="4" w:space="0" w:color="auto"/>
              <w:bottom w:val="single" w:sz="4" w:space="0" w:color="auto"/>
            </w:tcBorders>
          </w:tcPr>
          <w:p w14:paraId="4D4A8A21" w14:textId="77777777" w:rsidR="008A4E15" w:rsidRPr="00183D9F" w:rsidRDefault="008A4E15" w:rsidP="00CB0EDA">
            <w:pPr>
              <w:pStyle w:val="Tabletext"/>
              <w:rPr>
                <w:b/>
              </w:rPr>
            </w:pPr>
            <w:r w:rsidRPr="00183D9F">
              <w:rPr>
                <w:b/>
              </w:rPr>
              <w:t>B</w:t>
            </w:r>
          </w:p>
        </w:tc>
        <w:tc>
          <w:tcPr>
            <w:tcW w:w="552" w:type="pct"/>
            <w:tcBorders>
              <w:top w:val="single" w:sz="4" w:space="0" w:color="auto"/>
              <w:bottom w:val="single" w:sz="4" w:space="0" w:color="auto"/>
            </w:tcBorders>
          </w:tcPr>
          <w:p w14:paraId="3FA1F5FF" w14:textId="77777777" w:rsidR="008A4E15" w:rsidRPr="00183D9F" w:rsidRDefault="008A4E15" w:rsidP="00CB0EDA">
            <w:pPr>
              <w:pStyle w:val="Tabletext"/>
              <w:rPr>
                <w:b/>
              </w:rPr>
            </w:pPr>
            <w:r w:rsidRPr="00183D9F">
              <w:rPr>
                <w:b/>
              </w:rPr>
              <w:t>SE</w:t>
            </w:r>
          </w:p>
        </w:tc>
        <w:tc>
          <w:tcPr>
            <w:tcW w:w="797" w:type="pct"/>
            <w:tcBorders>
              <w:top w:val="single" w:sz="4" w:space="0" w:color="auto"/>
              <w:bottom w:val="single" w:sz="4" w:space="0" w:color="auto"/>
            </w:tcBorders>
          </w:tcPr>
          <w:p w14:paraId="43670197" w14:textId="77777777" w:rsidR="008A4E15" w:rsidRPr="00183D9F" w:rsidRDefault="008A4E15" w:rsidP="00CB0EDA">
            <w:pPr>
              <w:pStyle w:val="Tabletext"/>
              <w:rPr>
                <w:b/>
              </w:rPr>
            </w:pPr>
            <w:r w:rsidRPr="00183D9F">
              <w:rPr>
                <w:b/>
              </w:rPr>
              <w:t>Likelihood ratio χ2</w:t>
            </w:r>
          </w:p>
        </w:tc>
        <w:tc>
          <w:tcPr>
            <w:tcW w:w="527" w:type="pct"/>
            <w:tcBorders>
              <w:top w:val="single" w:sz="4" w:space="0" w:color="auto"/>
              <w:bottom w:val="single" w:sz="4" w:space="0" w:color="auto"/>
            </w:tcBorders>
          </w:tcPr>
          <w:p w14:paraId="61B4E268" w14:textId="77777777" w:rsidR="008A4E15" w:rsidRPr="00183D9F" w:rsidRDefault="008A4E15" w:rsidP="00CB0EDA">
            <w:pPr>
              <w:pStyle w:val="Tabletext"/>
              <w:rPr>
                <w:b/>
              </w:rPr>
            </w:pPr>
            <w:r w:rsidRPr="00183D9F">
              <w:rPr>
                <w:b/>
              </w:rPr>
              <w:t>df</w:t>
            </w:r>
          </w:p>
        </w:tc>
        <w:tc>
          <w:tcPr>
            <w:tcW w:w="499" w:type="pct"/>
            <w:tcBorders>
              <w:top w:val="single" w:sz="4" w:space="0" w:color="auto"/>
              <w:bottom w:val="single" w:sz="4" w:space="0" w:color="auto"/>
            </w:tcBorders>
          </w:tcPr>
          <w:p w14:paraId="735EA6D7" w14:textId="77777777" w:rsidR="008A4E15" w:rsidRPr="00183D9F" w:rsidRDefault="008A4E15" w:rsidP="00CB0EDA">
            <w:pPr>
              <w:pStyle w:val="Tabletext"/>
              <w:rPr>
                <w:b/>
              </w:rPr>
            </w:pPr>
            <w:r w:rsidRPr="00183D9F">
              <w:rPr>
                <w:b/>
              </w:rPr>
              <w:t>p</w:t>
            </w:r>
          </w:p>
        </w:tc>
        <w:tc>
          <w:tcPr>
            <w:tcW w:w="561" w:type="pct"/>
            <w:tcBorders>
              <w:top w:val="single" w:sz="4" w:space="0" w:color="auto"/>
              <w:bottom w:val="single" w:sz="4" w:space="0" w:color="auto"/>
            </w:tcBorders>
          </w:tcPr>
          <w:p w14:paraId="11337800" w14:textId="77777777" w:rsidR="008A4E15" w:rsidRPr="00183D9F" w:rsidRDefault="008A4E15" w:rsidP="00CB0EDA">
            <w:pPr>
              <w:pStyle w:val="Tabletext"/>
              <w:rPr>
                <w:b/>
              </w:rPr>
            </w:pPr>
            <w:r w:rsidRPr="00183D9F">
              <w:rPr>
                <w:b/>
              </w:rPr>
              <w:t>95% CI</w:t>
            </w:r>
          </w:p>
        </w:tc>
        <w:tc>
          <w:tcPr>
            <w:tcW w:w="469" w:type="pct"/>
            <w:tcBorders>
              <w:top w:val="single" w:sz="4" w:space="0" w:color="auto"/>
              <w:bottom w:val="single" w:sz="4" w:space="0" w:color="auto"/>
            </w:tcBorders>
          </w:tcPr>
          <w:p w14:paraId="7E8F4F12" w14:textId="77777777" w:rsidR="008A4E15" w:rsidRPr="00183D9F" w:rsidRDefault="008A4E15" w:rsidP="00CB0EDA">
            <w:pPr>
              <w:pStyle w:val="Tabletext"/>
              <w:rPr>
                <w:b/>
              </w:rPr>
            </w:pPr>
          </w:p>
        </w:tc>
        <w:tc>
          <w:tcPr>
            <w:tcW w:w="469" w:type="pct"/>
            <w:tcBorders>
              <w:top w:val="single" w:sz="4" w:space="0" w:color="auto"/>
              <w:bottom w:val="single" w:sz="4" w:space="0" w:color="auto"/>
            </w:tcBorders>
          </w:tcPr>
          <w:p w14:paraId="5AD952C9" w14:textId="77777777" w:rsidR="008A4E15" w:rsidRPr="00183D9F" w:rsidRDefault="008A4E15" w:rsidP="00CB0EDA">
            <w:pPr>
              <w:pStyle w:val="Tabletext"/>
              <w:rPr>
                <w:b/>
              </w:rPr>
            </w:pPr>
          </w:p>
        </w:tc>
      </w:tr>
      <w:tr w:rsidR="008A4E15" w14:paraId="26A1D68F" w14:textId="77777777" w:rsidTr="00D356A9">
        <w:tc>
          <w:tcPr>
            <w:tcW w:w="784" w:type="pct"/>
            <w:tcBorders>
              <w:top w:val="single" w:sz="4" w:space="0" w:color="auto"/>
            </w:tcBorders>
          </w:tcPr>
          <w:p w14:paraId="4DD3CE75" w14:textId="77777777" w:rsidR="008A4E15" w:rsidRDefault="008A4E15" w:rsidP="00CB0EDA">
            <w:pPr>
              <w:pStyle w:val="Tabletext"/>
            </w:pPr>
          </w:p>
        </w:tc>
        <w:tc>
          <w:tcPr>
            <w:tcW w:w="342" w:type="pct"/>
            <w:tcBorders>
              <w:top w:val="single" w:sz="4" w:space="0" w:color="auto"/>
            </w:tcBorders>
          </w:tcPr>
          <w:p w14:paraId="51A438CB" w14:textId="77777777" w:rsidR="008A4E15" w:rsidRPr="00BC722E" w:rsidRDefault="008A4E15" w:rsidP="008B7F21">
            <w:pPr>
              <w:pStyle w:val="Tabletext"/>
            </w:pPr>
          </w:p>
        </w:tc>
        <w:tc>
          <w:tcPr>
            <w:tcW w:w="552" w:type="pct"/>
            <w:tcBorders>
              <w:top w:val="single" w:sz="4" w:space="0" w:color="auto"/>
            </w:tcBorders>
          </w:tcPr>
          <w:p w14:paraId="242398DE" w14:textId="77777777" w:rsidR="008A4E15" w:rsidRPr="00BC722E" w:rsidRDefault="008A4E15" w:rsidP="008B7F21">
            <w:pPr>
              <w:pStyle w:val="Tabletext"/>
            </w:pPr>
          </w:p>
        </w:tc>
        <w:tc>
          <w:tcPr>
            <w:tcW w:w="797" w:type="pct"/>
            <w:tcBorders>
              <w:top w:val="single" w:sz="4" w:space="0" w:color="auto"/>
            </w:tcBorders>
          </w:tcPr>
          <w:p w14:paraId="04AC3D51" w14:textId="77777777" w:rsidR="008A4E15" w:rsidRPr="00BC722E" w:rsidRDefault="008A4E15" w:rsidP="008B7F21">
            <w:pPr>
              <w:pStyle w:val="Tabletext"/>
            </w:pPr>
          </w:p>
        </w:tc>
        <w:tc>
          <w:tcPr>
            <w:tcW w:w="527" w:type="pct"/>
            <w:tcBorders>
              <w:top w:val="single" w:sz="4" w:space="0" w:color="auto"/>
            </w:tcBorders>
          </w:tcPr>
          <w:p w14:paraId="5EB8F689" w14:textId="77777777" w:rsidR="008A4E15" w:rsidRDefault="008A4E15" w:rsidP="008B7F21">
            <w:pPr>
              <w:pStyle w:val="Tabletext"/>
            </w:pPr>
          </w:p>
        </w:tc>
        <w:tc>
          <w:tcPr>
            <w:tcW w:w="499" w:type="pct"/>
            <w:tcBorders>
              <w:top w:val="single" w:sz="4" w:space="0" w:color="auto"/>
            </w:tcBorders>
          </w:tcPr>
          <w:p w14:paraId="78D6C2C1" w14:textId="77777777" w:rsidR="008A4E15" w:rsidRDefault="008A4E15" w:rsidP="008B7F21">
            <w:pPr>
              <w:pStyle w:val="Tabletext"/>
            </w:pPr>
          </w:p>
        </w:tc>
        <w:tc>
          <w:tcPr>
            <w:tcW w:w="561" w:type="pct"/>
            <w:tcBorders>
              <w:top w:val="single" w:sz="4" w:space="0" w:color="auto"/>
            </w:tcBorders>
          </w:tcPr>
          <w:p w14:paraId="61FA4FE9" w14:textId="77777777" w:rsidR="008A4E15" w:rsidRDefault="008A4E15" w:rsidP="008B7F21">
            <w:pPr>
              <w:pStyle w:val="Tabletext"/>
            </w:pPr>
            <w:r>
              <w:t>OR</w:t>
            </w:r>
          </w:p>
        </w:tc>
        <w:tc>
          <w:tcPr>
            <w:tcW w:w="469" w:type="pct"/>
            <w:tcBorders>
              <w:top w:val="single" w:sz="4" w:space="0" w:color="auto"/>
            </w:tcBorders>
          </w:tcPr>
          <w:p w14:paraId="5AD889C4" w14:textId="77777777" w:rsidR="008A4E15" w:rsidRDefault="008A4E15" w:rsidP="008B7F21">
            <w:pPr>
              <w:pStyle w:val="Tabletext"/>
            </w:pPr>
            <w:r>
              <w:t>LB</w:t>
            </w:r>
          </w:p>
        </w:tc>
        <w:tc>
          <w:tcPr>
            <w:tcW w:w="469" w:type="pct"/>
            <w:tcBorders>
              <w:top w:val="single" w:sz="4" w:space="0" w:color="auto"/>
            </w:tcBorders>
          </w:tcPr>
          <w:p w14:paraId="402A022A" w14:textId="77777777" w:rsidR="008A4E15" w:rsidRDefault="008A4E15" w:rsidP="008B7F21">
            <w:pPr>
              <w:pStyle w:val="Tabletext"/>
            </w:pPr>
            <w:r>
              <w:t>UB</w:t>
            </w:r>
          </w:p>
        </w:tc>
      </w:tr>
      <w:tr w:rsidR="008A4E15" w14:paraId="7DAF8A8E" w14:textId="77777777" w:rsidTr="00D356A9">
        <w:tc>
          <w:tcPr>
            <w:tcW w:w="784" w:type="pct"/>
          </w:tcPr>
          <w:p w14:paraId="29B0E280" w14:textId="77777777" w:rsidR="008A4E15" w:rsidRPr="00BC722E" w:rsidRDefault="008A4E15" w:rsidP="008B7F21">
            <w:pPr>
              <w:pStyle w:val="Tabletext"/>
            </w:pPr>
            <w:r>
              <w:t>SES</w:t>
            </w:r>
          </w:p>
        </w:tc>
        <w:tc>
          <w:tcPr>
            <w:tcW w:w="342" w:type="pct"/>
          </w:tcPr>
          <w:p w14:paraId="01EE04F9" w14:textId="77777777" w:rsidR="008A4E15" w:rsidRPr="00BC722E" w:rsidRDefault="008A4E15" w:rsidP="00CA4C6A">
            <w:pPr>
              <w:pStyle w:val="Tabletext"/>
              <w:jc w:val="right"/>
            </w:pPr>
            <w:r>
              <w:t>.42</w:t>
            </w:r>
          </w:p>
        </w:tc>
        <w:tc>
          <w:tcPr>
            <w:tcW w:w="552" w:type="pct"/>
          </w:tcPr>
          <w:p w14:paraId="234167FA" w14:textId="77777777" w:rsidR="008A4E15" w:rsidRPr="00BC722E" w:rsidRDefault="008A4E15" w:rsidP="00CA4C6A">
            <w:pPr>
              <w:pStyle w:val="Tabletext"/>
              <w:jc w:val="right"/>
            </w:pPr>
            <w:r>
              <w:t>.03</w:t>
            </w:r>
          </w:p>
        </w:tc>
        <w:tc>
          <w:tcPr>
            <w:tcW w:w="797" w:type="pct"/>
          </w:tcPr>
          <w:p w14:paraId="1F3E990C" w14:textId="77777777" w:rsidR="008A4E15" w:rsidRPr="00BC722E" w:rsidRDefault="008A4E15" w:rsidP="00CA4C6A">
            <w:pPr>
              <w:pStyle w:val="Tabletext"/>
              <w:jc w:val="right"/>
            </w:pPr>
            <w:r>
              <w:t>147.06</w:t>
            </w:r>
          </w:p>
        </w:tc>
        <w:tc>
          <w:tcPr>
            <w:tcW w:w="527" w:type="pct"/>
          </w:tcPr>
          <w:p w14:paraId="3F8226D1" w14:textId="77777777" w:rsidR="008A4E15" w:rsidRPr="00BC722E" w:rsidRDefault="008A4E15" w:rsidP="00CA4C6A">
            <w:pPr>
              <w:pStyle w:val="Tabletext"/>
              <w:jc w:val="right"/>
            </w:pPr>
            <w:r>
              <w:t>1</w:t>
            </w:r>
          </w:p>
        </w:tc>
        <w:tc>
          <w:tcPr>
            <w:tcW w:w="499" w:type="pct"/>
          </w:tcPr>
          <w:p w14:paraId="7F18085F" w14:textId="77777777" w:rsidR="008A4E15" w:rsidRPr="00BC722E" w:rsidRDefault="008A4E15" w:rsidP="00CA4C6A">
            <w:pPr>
              <w:pStyle w:val="Tabletext"/>
              <w:jc w:val="right"/>
            </w:pPr>
            <w:r>
              <w:t>&lt;.001**</w:t>
            </w:r>
          </w:p>
        </w:tc>
        <w:tc>
          <w:tcPr>
            <w:tcW w:w="561" w:type="pct"/>
          </w:tcPr>
          <w:p w14:paraId="58062CA8" w14:textId="77777777" w:rsidR="008A4E15" w:rsidRPr="00BC722E" w:rsidRDefault="008A4E15" w:rsidP="00CA4C6A">
            <w:pPr>
              <w:pStyle w:val="Tabletext"/>
              <w:jc w:val="right"/>
            </w:pPr>
            <w:r>
              <w:t>1.51</w:t>
            </w:r>
          </w:p>
        </w:tc>
        <w:tc>
          <w:tcPr>
            <w:tcW w:w="469" w:type="pct"/>
          </w:tcPr>
          <w:p w14:paraId="7FEC0484" w14:textId="77777777" w:rsidR="008A4E15" w:rsidRPr="00BC722E" w:rsidRDefault="008A4E15" w:rsidP="00CA4C6A">
            <w:pPr>
              <w:pStyle w:val="Tabletext"/>
              <w:jc w:val="right"/>
            </w:pPr>
            <w:r>
              <w:t>1.41</w:t>
            </w:r>
          </w:p>
        </w:tc>
        <w:tc>
          <w:tcPr>
            <w:tcW w:w="469" w:type="pct"/>
          </w:tcPr>
          <w:p w14:paraId="1C7633D7" w14:textId="77777777" w:rsidR="008A4E15" w:rsidRPr="00BC722E" w:rsidRDefault="008A4E15" w:rsidP="00CA4C6A">
            <w:pPr>
              <w:pStyle w:val="Tabletext"/>
              <w:jc w:val="right"/>
            </w:pPr>
            <w:r>
              <w:t>1.62</w:t>
            </w:r>
          </w:p>
        </w:tc>
      </w:tr>
      <w:tr w:rsidR="008A4E15" w14:paraId="2FBDC683" w14:textId="77777777" w:rsidTr="00D356A9">
        <w:tc>
          <w:tcPr>
            <w:tcW w:w="784" w:type="pct"/>
          </w:tcPr>
          <w:p w14:paraId="5263666A" w14:textId="77777777" w:rsidR="008A4E15" w:rsidRPr="00BC722E" w:rsidRDefault="008A4E15" w:rsidP="008B7F21">
            <w:pPr>
              <w:pStyle w:val="Tabletext"/>
            </w:pPr>
            <w:r>
              <w:t>Indigenous</w:t>
            </w:r>
          </w:p>
        </w:tc>
        <w:tc>
          <w:tcPr>
            <w:tcW w:w="342" w:type="pct"/>
          </w:tcPr>
          <w:p w14:paraId="4A5CE206" w14:textId="77777777" w:rsidR="008A4E15" w:rsidRPr="00BC722E" w:rsidRDefault="008A4E15" w:rsidP="00CA4C6A">
            <w:pPr>
              <w:pStyle w:val="Tabletext"/>
              <w:jc w:val="right"/>
            </w:pPr>
            <w:r>
              <w:t>-.63</w:t>
            </w:r>
          </w:p>
        </w:tc>
        <w:tc>
          <w:tcPr>
            <w:tcW w:w="552" w:type="pct"/>
          </w:tcPr>
          <w:p w14:paraId="6857E122" w14:textId="77777777" w:rsidR="008A4E15" w:rsidRPr="00BC722E" w:rsidRDefault="008A4E15" w:rsidP="00CA4C6A">
            <w:pPr>
              <w:pStyle w:val="Tabletext"/>
              <w:jc w:val="right"/>
            </w:pPr>
            <w:r>
              <w:t>.11</w:t>
            </w:r>
          </w:p>
        </w:tc>
        <w:tc>
          <w:tcPr>
            <w:tcW w:w="797" w:type="pct"/>
          </w:tcPr>
          <w:p w14:paraId="0E64D735" w14:textId="77777777" w:rsidR="008A4E15" w:rsidRPr="00BC722E" w:rsidRDefault="008A4E15" w:rsidP="00CA4C6A">
            <w:pPr>
              <w:pStyle w:val="Tabletext"/>
              <w:jc w:val="right"/>
            </w:pPr>
            <w:r>
              <w:t>31.70</w:t>
            </w:r>
          </w:p>
        </w:tc>
        <w:tc>
          <w:tcPr>
            <w:tcW w:w="527" w:type="pct"/>
          </w:tcPr>
          <w:p w14:paraId="4DA0B769" w14:textId="77777777" w:rsidR="008A4E15" w:rsidRPr="00BC722E" w:rsidRDefault="008A4E15" w:rsidP="00CA4C6A">
            <w:pPr>
              <w:pStyle w:val="Tabletext"/>
              <w:jc w:val="right"/>
            </w:pPr>
            <w:r>
              <w:t>1</w:t>
            </w:r>
          </w:p>
        </w:tc>
        <w:tc>
          <w:tcPr>
            <w:tcW w:w="499" w:type="pct"/>
          </w:tcPr>
          <w:p w14:paraId="29A928F6" w14:textId="77777777" w:rsidR="008A4E15" w:rsidRPr="00BC722E" w:rsidRDefault="008A4E15" w:rsidP="00CA4C6A">
            <w:pPr>
              <w:pStyle w:val="Tabletext"/>
              <w:jc w:val="right"/>
            </w:pPr>
            <w:r>
              <w:t>&lt;.001**</w:t>
            </w:r>
          </w:p>
        </w:tc>
        <w:tc>
          <w:tcPr>
            <w:tcW w:w="561" w:type="pct"/>
          </w:tcPr>
          <w:p w14:paraId="59953BD5" w14:textId="77777777" w:rsidR="008A4E15" w:rsidRPr="00BC722E" w:rsidRDefault="008A4E15" w:rsidP="00CA4C6A">
            <w:pPr>
              <w:pStyle w:val="Tabletext"/>
              <w:jc w:val="right"/>
            </w:pPr>
            <w:r>
              <w:t>.53</w:t>
            </w:r>
          </w:p>
        </w:tc>
        <w:tc>
          <w:tcPr>
            <w:tcW w:w="469" w:type="pct"/>
          </w:tcPr>
          <w:p w14:paraId="4D254BBF" w14:textId="77777777" w:rsidR="008A4E15" w:rsidRPr="00BC722E" w:rsidRDefault="008A4E15" w:rsidP="00CA4C6A">
            <w:pPr>
              <w:pStyle w:val="Tabletext"/>
              <w:jc w:val="right"/>
            </w:pPr>
            <w:r>
              <w:t>.42</w:t>
            </w:r>
          </w:p>
        </w:tc>
        <w:tc>
          <w:tcPr>
            <w:tcW w:w="469" w:type="pct"/>
          </w:tcPr>
          <w:p w14:paraId="2AD7B169" w14:textId="77777777" w:rsidR="008A4E15" w:rsidRPr="00BC722E" w:rsidRDefault="008A4E15" w:rsidP="00CA4C6A">
            <w:pPr>
              <w:pStyle w:val="Tabletext"/>
              <w:jc w:val="right"/>
            </w:pPr>
            <w:r>
              <w:t>.66</w:t>
            </w:r>
          </w:p>
        </w:tc>
      </w:tr>
      <w:tr w:rsidR="008A4E15" w14:paraId="69627A02" w14:textId="77777777" w:rsidTr="00D356A9">
        <w:tc>
          <w:tcPr>
            <w:tcW w:w="784" w:type="pct"/>
          </w:tcPr>
          <w:p w14:paraId="1E75605D" w14:textId="77777777" w:rsidR="008A4E15" w:rsidRPr="00BC722E" w:rsidRDefault="008A4E15" w:rsidP="00CB0EDA">
            <w:pPr>
              <w:pStyle w:val="Tabletext"/>
            </w:pPr>
            <w:r>
              <w:t>Gender</w:t>
            </w:r>
            <w:r w:rsidRPr="00BE7723">
              <w:rPr>
                <w:vertAlign w:val="superscript"/>
              </w:rPr>
              <w:t>1</w:t>
            </w:r>
          </w:p>
        </w:tc>
        <w:tc>
          <w:tcPr>
            <w:tcW w:w="342" w:type="pct"/>
          </w:tcPr>
          <w:p w14:paraId="17FEA249" w14:textId="77777777" w:rsidR="008A4E15" w:rsidRPr="00BC722E" w:rsidRDefault="008A4E15" w:rsidP="00CA4C6A">
            <w:pPr>
              <w:pStyle w:val="Tabletext"/>
              <w:jc w:val="right"/>
            </w:pPr>
            <w:r>
              <w:t>.04</w:t>
            </w:r>
          </w:p>
        </w:tc>
        <w:tc>
          <w:tcPr>
            <w:tcW w:w="552" w:type="pct"/>
          </w:tcPr>
          <w:p w14:paraId="1EA47D79" w14:textId="77777777" w:rsidR="008A4E15" w:rsidRPr="00BC722E" w:rsidRDefault="008A4E15" w:rsidP="00CA4C6A">
            <w:pPr>
              <w:pStyle w:val="Tabletext"/>
              <w:jc w:val="right"/>
            </w:pPr>
            <w:r>
              <w:t>.05</w:t>
            </w:r>
          </w:p>
        </w:tc>
        <w:tc>
          <w:tcPr>
            <w:tcW w:w="797" w:type="pct"/>
          </w:tcPr>
          <w:p w14:paraId="276E5237" w14:textId="77777777" w:rsidR="008A4E15" w:rsidRPr="00BC722E" w:rsidRDefault="008A4E15" w:rsidP="00CA4C6A">
            <w:pPr>
              <w:pStyle w:val="Tabletext"/>
              <w:jc w:val="right"/>
            </w:pPr>
            <w:r>
              <w:t>.50</w:t>
            </w:r>
          </w:p>
        </w:tc>
        <w:tc>
          <w:tcPr>
            <w:tcW w:w="527" w:type="pct"/>
          </w:tcPr>
          <w:p w14:paraId="4E54D7DA" w14:textId="77777777" w:rsidR="008A4E15" w:rsidRPr="00BC722E" w:rsidRDefault="008A4E15" w:rsidP="00CA4C6A">
            <w:pPr>
              <w:pStyle w:val="Tabletext"/>
              <w:jc w:val="right"/>
            </w:pPr>
            <w:r>
              <w:t>1</w:t>
            </w:r>
          </w:p>
        </w:tc>
        <w:tc>
          <w:tcPr>
            <w:tcW w:w="499" w:type="pct"/>
          </w:tcPr>
          <w:p w14:paraId="27E9B82A" w14:textId="77777777" w:rsidR="008A4E15" w:rsidRPr="00BC722E" w:rsidRDefault="008A4E15" w:rsidP="00CA4C6A">
            <w:pPr>
              <w:pStyle w:val="Tabletext"/>
              <w:jc w:val="right"/>
            </w:pPr>
            <w:r>
              <w:t>.47</w:t>
            </w:r>
          </w:p>
        </w:tc>
        <w:tc>
          <w:tcPr>
            <w:tcW w:w="561" w:type="pct"/>
          </w:tcPr>
          <w:p w14:paraId="4C4AE14C" w14:textId="77777777" w:rsidR="008A4E15" w:rsidRPr="00BC722E" w:rsidRDefault="008A4E15" w:rsidP="00CA4C6A">
            <w:pPr>
              <w:pStyle w:val="Tabletext"/>
              <w:jc w:val="right"/>
            </w:pPr>
            <w:r>
              <w:t>1.03</w:t>
            </w:r>
          </w:p>
        </w:tc>
        <w:tc>
          <w:tcPr>
            <w:tcW w:w="469" w:type="pct"/>
          </w:tcPr>
          <w:p w14:paraId="6FB209BB" w14:textId="77777777" w:rsidR="008A4E15" w:rsidRPr="00BC722E" w:rsidRDefault="008A4E15" w:rsidP="00CA4C6A">
            <w:pPr>
              <w:pStyle w:val="Tabletext"/>
              <w:jc w:val="right"/>
            </w:pPr>
            <w:r>
              <w:t>.94</w:t>
            </w:r>
          </w:p>
        </w:tc>
        <w:tc>
          <w:tcPr>
            <w:tcW w:w="469" w:type="pct"/>
          </w:tcPr>
          <w:p w14:paraId="1C2C4512" w14:textId="77777777" w:rsidR="008A4E15" w:rsidRPr="00BC722E" w:rsidRDefault="008A4E15" w:rsidP="00CA4C6A">
            <w:pPr>
              <w:pStyle w:val="Tabletext"/>
              <w:jc w:val="right"/>
            </w:pPr>
            <w:r>
              <w:t>1.14</w:t>
            </w:r>
          </w:p>
        </w:tc>
      </w:tr>
      <w:tr w:rsidR="008A4E15" w14:paraId="3B8DA908" w14:textId="77777777" w:rsidTr="00D356A9">
        <w:tc>
          <w:tcPr>
            <w:tcW w:w="784" w:type="pct"/>
          </w:tcPr>
          <w:p w14:paraId="01EFA0F5" w14:textId="77777777" w:rsidR="008A4E15" w:rsidRPr="00BC722E" w:rsidRDefault="008A4E15" w:rsidP="00CB0EDA">
            <w:pPr>
              <w:pStyle w:val="Tabletext"/>
            </w:pPr>
            <w:r>
              <w:t>Aus-bkg</w:t>
            </w:r>
            <w:r w:rsidRPr="00BE7723">
              <w:rPr>
                <w:vertAlign w:val="superscript"/>
              </w:rPr>
              <w:t>2</w:t>
            </w:r>
          </w:p>
        </w:tc>
        <w:tc>
          <w:tcPr>
            <w:tcW w:w="342" w:type="pct"/>
          </w:tcPr>
          <w:p w14:paraId="60FE7EA4" w14:textId="77777777" w:rsidR="008A4E15" w:rsidRPr="00BC722E" w:rsidRDefault="008A4E15" w:rsidP="00CA4C6A">
            <w:pPr>
              <w:pStyle w:val="Tabletext"/>
              <w:jc w:val="right"/>
            </w:pPr>
            <w:r>
              <w:t>-</w:t>
            </w:r>
          </w:p>
        </w:tc>
        <w:tc>
          <w:tcPr>
            <w:tcW w:w="552" w:type="pct"/>
          </w:tcPr>
          <w:p w14:paraId="1E4D36CB" w14:textId="77777777" w:rsidR="008A4E15" w:rsidRPr="00BC722E" w:rsidRDefault="008A4E15" w:rsidP="00CA4C6A">
            <w:pPr>
              <w:pStyle w:val="Tabletext"/>
              <w:jc w:val="right"/>
            </w:pPr>
            <w:r>
              <w:t>-</w:t>
            </w:r>
          </w:p>
        </w:tc>
        <w:tc>
          <w:tcPr>
            <w:tcW w:w="797" w:type="pct"/>
          </w:tcPr>
          <w:p w14:paraId="133BD2BB" w14:textId="77777777" w:rsidR="008A4E15" w:rsidRPr="00BC722E" w:rsidRDefault="008A4E15" w:rsidP="00CA4C6A">
            <w:pPr>
              <w:pStyle w:val="Tabletext"/>
              <w:jc w:val="right"/>
            </w:pPr>
            <w:r>
              <w:t>52.76</w:t>
            </w:r>
          </w:p>
        </w:tc>
        <w:tc>
          <w:tcPr>
            <w:tcW w:w="527" w:type="pct"/>
          </w:tcPr>
          <w:p w14:paraId="79100042" w14:textId="77777777" w:rsidR="008A4E15" w:rsidRPr="00BC722E" w:rsidRDefault="008A4E15" w:rsidP="00CA4C6A">
            <w:pPr>
              <w:pStyle w:val="Tabletext"/>
              <w:jc w:val="right"/>
            </w:pPr>
            <w:r>
              <w:t>2</w:t>
            </w:r>
          </w:p>
        </w:tc>
        <w:tc>
          <w:tcPr>
            <w:tcW w:w="499" w:type="pct"/>
          </w:tcPr>
          <w:p w14:paraId="75E6EA3F" w14:textId="77777777" w:rsidR="008A4E15" w:rsidRPr="00BC722E" w:rsidRDefault="008A4E15" w:rsidP="00CA4C6A">
            <w:pPr>
              <w:pStyle w:val="Tabletext"/>
              <w:jc w:val="right"/>
            </w:pPr>
            <w:r>
              <w:t>&lt;.001**</w:t>
            </w:r>
          </w:p>
        </w:tc>
        <w:tc>
          <w:tcPr>
            <w:tcW w:w="561" w:type="pct"/>
          </w:tcPr>
          <w:p w14:paraId="36B55FE9" w14:textId="77777777" w:rsidR="008A4E15" w:rsidRPr="00BC722E" w:rsidRDefault="008A4E15" w:rsidP="00CA4C6A">
            <w:pPr>
              <w:pStyle w:val="Tabletext"/>
              <w:jc w:val="right"/>
            </w:pPr>
            <w:r>
              <w:t>-</w:t>
            </w:r>
          </w:p>
        </w:tc>
        <w:tc>
          <w:tcPr>
            <w:tcW w:w="469" w:type="pct"/>
          </w:tcPr>
          <w:p w14:paraId="672D2C35" w14:textId="77777777" w:rsidR="008A4E15" w:rsidRPr="00BC722E" w:rsidRDefault="008A4E15" w:rsidP="00CA4C6A">
            <w:pPr>
              <w:pStyle w:val="Tabletext"/>
              <w:jc w:val="right"/>
            </w:pPr>
            <w:r>
              <w:t>-</w:t>
            </w:r>
          </w:p>
        </w:tc>
        <w:tc>
          <w:tcPr>
            <w:tcW w:w="469" w:type="pct"/>
          </w:tcPr>
          <w:p w14:paraId="4B05E0CB" w14:textId="77777777" w:rsidR="008A4E15" w:rsidRPr="00BC722E" w:rsidRDefault="008A4E15" w:rsidP="00CA4C6A">
            <w:pPr>
              <w:pStyle w:val="Tabletext"/>
              <w:jc w:val="right"/>
            </w:pPr>
            <w:r>
              <w:t>-</w:t>
            </w:r>
          </w:p>
        </w:tc>
      </w:tr>
      <w:tr w:rsidR="008A4E15" w14:paraId="579EC4B0" w14:textId="77777777" w:rsidTr="00D356A9">
        <w:tc>
          <w:tcPr>
            <w:tcW w:w="784" w:type="pct"/>
          </w:tcPr>
          <w:p w14:paraId="449A7737" w14:textId="77DD88BC" w:rsidR="008A4E15" w:rsidRPr="00BC722E" w:rsidRDefault="008A4E15" w:rsidP="008B7F21">
            <w:pPr>
              <w:pStyle w:val="Tabletext"/>
            </w:pPr>
            <w:proofErr w:type="spellStart"/>
            <w:r>
              <w:t>Firstgen-bkg</w:t>
            </w:r>
            <w:proofErr w:type="spellEnd"/>
          </w:p>
        </w:tc>
        <w:tc>
          <w:tcPr>
            <w:tcW w:w="342" w:type="pct"/>
          </w:tcPr>
          <w:p w14:paraId="74DC549D" w14:textId="77777777" w:rsidR="008A4E15" w:rsidRPr="00BC722E" w:rsidRDefault="008A4E15" w:rsidP="00CA4C6A">
            <w:pPr>
              <w:pStyle w:val="Tabletext"/>
              <w:jc w:val="right"/>
            </w:pPr>
            <w:r>
              <w:t>.30</w:t>
            </w:r>
          </w:p>
        </w:tc>
        <w:tc>
          <w:tcPr>
            <w:tcW w:w="552" w:type="pct"/>
          </w:tcPr>
          <w:p w14:paraId="43A710DB" w14:textId="77777777" w:rsidR="008A4E15" w:rsidRPr="00BC722E" w:rsidRDefault="008A4E15" w:rsidP="00CA4C6A">
            <w:pPr>
              <w:pStyle w:val="Tabletext"/>
              <w:jc w:val="right"/>
            </w:pPr>
            <w:r>
              <w:t>.05</w:t>
            </w:r>
          </w:p>
        </w:tc>
        <w:tc>
          <w:tcPr>
            <w:tcW w:w="797" w:type="pct"/>
          </w:tcPr>
          <w:p w14:paraId="7B3E8B47" w14:textId="77777777" w:rsidR="008A4E15" w:rsidRPr="00BC722E" w:rsidRDefault="008A4E15" w:rsidP="00CA4C6A">
            <w:pPr>
              <w:pStyle w:val="Tabletext"/>
              <w:jc w:val="right"/>
            </w:pPr>
            <w:r>
              <w:t>-</w:t>
            </w:r>
          </w:p>
        </w:tc>
        <w:tc>
          <w:tcPr>
            <w:tcW w:w="527" w:type="pct"/>
          </w:tcPr>
          <w:p w14:paraId="29722E50" w14:textId="77777777" w:rsidR="008A4E15" w:rsidRPr="00BC722E" w:rsidRDefault="008A4E15" w:rsidP="00CA4C6A">
            <w:pPr>
              <w:pStyle w:val="Tabletext"/>
              <w:jc w:val="right"/>
            </w:pPr>
            <w:r>
              <w:t>1</w:t>
            </w:r>
          </w:p>
        </w:tc>
        <w:tc>
          <w:tcPr>
            <w:tcW w:w="499" w:type="pct"/>
          </w:tcPr>
          <w:p w14:paraId="1C676EEF" w14:textId="77777777" w:rsidR="008A4E15" w:rsidRPr="00BC722E" w:rsidRDefault="008A4E15" w:rsidP="00CA4C6A">
            <w:pPr>
              <w:pStyle w:val="Tabletext"/>
              <w:jc w:val="right"/>
            </w:pPr>
            <w:r>
              <w:t>&lt;.001**</w:t>
            </w:r>
          </w:p>
        </w:tc>
        <w:tc>
          <w:tcPr>
            <w:tcW w:w="561" w:type="pct"/>
          </w:tcPr>
          <w:p w14:paraId="47177F52" w14:textId="77777777" w:rsidR="008A4E15" w:rsidRPr="00BC722E" w:rsidRDefault="008A4E15" w:rsidP="00CA4C6A">
            <w:pPr>
              <w:pStyle w:val="Tabletext"/>
              <w:jc w:val="right"/>
            </w:pPr>
            <w:r>
              <w:t>1.35</w:t>
            </w:r>
          </w:p>
        </w:tc>
        <w:tc>
          <w:tcPr>
            <w:tcW w:w="469" w:type="pct"/>
          </w:tcPr>
          <w:p w14:paraId="6B7C44FA" w14:textId="77777777" w:rsidR="008A4E15" w:rsidRPr="00BC722E" w:rsidRDefault="008A4E15" w:rsidP="00CA4C6A">
            <w:pPr>
              <w:pStyle w:val="Tabletext"/>
              <w:jc w:val="right"/>
            </w:pPr>
            <w:r>
              <w:t>1.21</w:t>
            </w:r>
          </w:p>
        </w:tc>
        <w:tc>
          <w:tcPr>
            <w:tcW w:w="469" w:type="pct"/>
          </w:tcPr>
          <w:p w14:paraId="196F2302" w14:textId="77777777" w:rsidR="008A4E15" w:rsidRPr="00BC722E" w:rsidRDefault="008A4E15" w:rsidP="00CA4C6A">
            <w:pPr>
              <w:pStyle w:val="Tabletext"/>
              <w:jc w:val="right"/>
            </w:pPr>
            <w:r>
              <w:t>1.50</w:t>
            </w:r>
          </w:p>
        </w:tc>
      </w:tr>
      <w:tr w:rsidR="008A4E15" w14:paraId="68C1B96E" w14:textId="77777777" w:rsidTr="00D356A9">
        <w:tc>
          <w:tcPr>
            <w:tcW w:w="784" w:type="pct"/>
            <w:tcBorders>
              <w:bottom w:val="single" w:sz="4" w:space="0" w:color="auto"/>
            </w:tcBorders>
          </w:tcPr>
          <w:p w14:paraId="00EC804A" w14:textId="501976D6" w:rsidR="008A4E15" w:rsidRPr="00BC722E" w:rsidRDefault="008A4E15" w:rsidP="00CB0EDA">
            <w:pPr>
              <w:pStyle w:val="Tabletext"/>
            </w:pPr>
            <w:r>
              <w:t>Foreign-</w:t>
            </w:r>
            <w:proofErr w:type="spellStart"/>
            <w:r>
              <w:t>bkg</w:t>
            </w:r>
            <w:proofErr w:type="spellEnd"/>
          </w:p>
        </w:tc>
        <w:tc>
          <w:tcPr>
            <w:tcW w:w="342" w:type="pct"/>
            <w:tcBorders>
              <w:bottom w:val="single" w:sz="4" w:space="0" w:color="auto"/>
            </w:tcBorders>
          </w:tcPr>
          <w:p w14:paraId="0C023D06" w14:textId="77777777" w:rsidR="008A4E15" w:rsidRPr="00BC722E" w:rsidRDefault="008A4E15" w:rsidP="00CA4C6A">
            <w:pPr>
              <w:pStyle w:val="Tabletext"/>
              <w:jc w:val="right"/>
            </w:pPr>
            <w:r>
              <w:t>.52</w:t>
            </w:r>
          </w:p>
        </w:tc>
        <w:tc>
          <w:tcPr>
            <w:tcW w:w="552" w:type="pct"/>
            <w:tcBorders>
              <w:bottom w:val="single" w:sz="4" w:space="0" w:color="auto"/>
            </w:tcBorders>
          </w:tcPr>
          <w:p w14:paraId="4CEBD41D" w14:textId="77777777" w:rsidR="008A4E15" w:rsidRPr="00BC722E" w:rsidRDefault="008A4E15" w:rsidP="00CA4C6A">
            <w:pPr>
              <w:pStyle w:val="Tabletext"/>
              <w:jc w:val="right"/>
            </w:pPr>
            <w:r>
              <w:t>.09</w:t>
            </w:r>
          </w:p>
        </w:tc>
        <w:tc>
          <w:tcPr>
            <w:tcW w:w="797" w:type="pct"/>
            <w:tcBorders>
              <w:bottom w:val="single" w:sz="4" w:space="0" w:color="auto"/>
            </w:tcBorders>
          </w:tcPr>
          <w:p w14:paraId="0E354613" w14:textId="77777777" w:rsidR="008A4E15" w:rsidRPr="00BC722E" w:rsidRDefault="008A4E15" w:rsidP="00CA4C6A">
            <w:pPr>
              <w:pStyle w:val="Tabletext"/>
              <w:jc w:val="right"/>
            </w:pPr>
            <w:r>
              <w:t>-</w:t>
            </w:r>
          </w:p>
        </w:tc>
        <w:tc>
          <w:tcPr>
            <w:tcW w:w="527" w:type="pct"/>
            <w:tcBorders>
              <w:bottom w:val="single" w:sz="4" w:space="0" w:color="auto"/>
            </w:tcBorders>
          </w:tcPr>
          <w:p w14:paraId="2CCE077E" w14:textId="77777777" w:rsidR="008A4E15" w:rsidRPr="00BC722E" w:rsidRDefault="008A4E15" w:rsidP="00CA4C6A">
            <w:pPr>
              <w:pStyle w:val="Tabletext"/>
              <w:jc w:val="right"/>
            </w:pPr>
            <w:r>
              <w:t>1</w:t>
            </w:r>
          </w:p>
        </w:tc>
        <w:tc>
          <w:tcPr>
            <w:tcW w:w="499" w:type="pct"/>
            <w:tcBorders>
              <w:bottom w:val="single" w:sz="4" w:space="0" w:color="auto"/>
            </w:tcBorders>
          </w:tcPr>
          <w:p w14:paraId="77023646" w14:textId="77777777" w:rsidR="008A4E15" w:rsidRPr="00BC722E" w:rsidRDefault="008A4E15" w:rsidP="00CA4C6A">
            <w:pPr>
              <w:pStyle w:val="Tabletext"/>
              <w:jc w:val="right"/>
            </w:pPr>
            <w:r>
              <w:t>&lt;.001**</w:t>
            </w:r>
          </w:p>
        </w:tc>
        <w:tc>
          <w:tcPr>
            <w:tcW w:w="561" w:type="pct"/>
            <w:tcBorders>
              <w:bottom w:val="single" w:sz="4" w:space="0" w:color="auto"/>
            </w:tcBorders>
          </w:tcPr>
          <w:p w14:paraId="2AE922E7" w14:textId="77777777" w:rsidR="008A4E15" w:rsidRPr="00BC722E" w:rsidRDefault="008A4E15" w:rsidP="00CA4C6A">
            <w:pPr>
              <w:pStyle w:val="Tabletext"/>
              <w:jc w:val="right"/>
            </w:pPr>
            <w:r>
              <w:t>1.68</w:t>
            </w:r>
          </w:p>
        </w:tc>
        <w:tc>
          <w:tcPr>
            <w:tcW w:w="469" w:type="pct"/>
            <w:tcBorders>
              <w:bottom w:val="single" w:sz="4" w:space="0" w:color="auto"/>
            </w:tcBorders>
          </w:tcPr>
          <w:p w14:paraId="4CECBAFA" w14:textId="77777777" w:rsidR="008A4E15" w:rsidRPr="00BC722E" w:rsidRDefault="008A4E15" w:rsidP="00CA4C6A">
            <w:pPr>
              <w:pStyle w:val="Tabletext"/>
              <w:jc w:val="right"/>
            </w:pPr>
            <w:r>
              <w:t>1.40</w:t>
            </w:r>
          </w:p>
        </w:tc>
        <w:tc>
          <w:tcPr>
            <w:tcW w:w="469" w:type="pct"/>
            <w:tcBorders>
              <w:bottom w:val="single" w:sz="4" w:space="0" w:color="auto"/>
            </w:tcBorders>
          </w:tcPr>
          <w:p w14:paraId="30CDF877" w14:textId="77777777" w:rsidR="008A4E15" w:rsidRPr="00BC722E" w:rsidRDefault="008A4E15" w:rsidP="00CA4C6A">
            <w:pPr>
              <w:pStyle w:val="Tabletext"/>
              <w:jc w:val="right"/>
            </w:pPr>
            <w:r>
              <w:t>2.01</w:t>
            </w:r>
          </w:p>
        </w:tc>
      </w:tr>
    </w:tbl>
    <w:p w14:paraId="6AF3A6BF" w14:textId="15620D09" w:rsidR="008A4E15" w:rsidRPr="00583F5F" w:rsidRDefault="008A4E15" w:rsidP="00583F5F">
      <w:pPr>
        <w:pStyle w:val="Source"/>
        <w:ind w:left="0" w:firstLine="0"/>
      </w:pPr>
      <w:r w:rsidRPr="00CB0EDA">
        <w:rPr>
          <w:i/>
        </w:rPr>
        <w:t>SE</w:t>
      </w:r>
      <w:r w:rsidRPr="00CB0EDA">
        <w:t xml:space="preserve"> standard error, </w:t>
      </w:r>
      <w:r w:rsidRPr="00CB0EDA">
        <w:rPr>
          <w:i/>
        </w:rPr>
        <w:t>CI</w:t>
      </w:r>
      <w:r w:rsidRPr="00CB0EDA">
        <w:t xml:space="preserve"> confidence interval, </w:t>
      </w:r>
      <w:r w:rsidRPr="00CB0EDA">
        <w:rPr>
          <w:i/>
        </w:rPr>
        <w:t>OR</w:t>
      </w:r>
      <w:r w:rsidRPr="00CB0EDA">
        <w:t xml:space="preserve"> odds ratio, </w:t>
      </w:r>
      <w:r w:rsidRPr="00CB0EDA">
        <w:rPr>
          <w:i/>
        </w:rPr>
        <w:t>LB</w:t>
      </w:r>
      <w:r w:rsidRPr="00CB0EDA">
        <w:t xml:space="preserve"> lower bound, </w:t>
      </w:r>
      <w:r w:rsidRPr="00CB0EDA">
        <w:rPr>
          <w:i/>
        </w:rPr>
        <w:t>UB</w:t>
      </w:r>
      <w:r w:rsidRPr="00CB0EDA">
        <w:t xml:space="preserve"> upper bound</w:t>
      </w:r>
      <w:r w:rsidR="00DD49D6">
        <w:t xml:space="preserve">, </w:t>
      </w:r>
      <w:proofErr w:type="spellStart"/>
      <w:r w:rsidR="00DD49D6">
        <w:rPr>
          <w:i/>
        </w:rPr>
        <w:t>A</w:t>
      </w:r>
      <w:r w:rsidR="00583F5F">
        <w:rPr>
          <w:i/>
        </w:rPr>
        <w:t>us-bkg</w:t>
      </w:r>
      <w:proofErr w:type="spellEnd"/>
      <w:r w:rsidR="00583F5F">
        <w:rPr>
          <w:i/>
        </w:rPr>
        <w:t xml:space="preserve"> </w:t>
      </w:r>
      <w:r w:rsidR="00583F5F">
        <w:t xml:space="preserve">Australian background, </w:t>
      </w:r>
      <w:proofErr w:type="spellStart"/>
      <w:r w:rsidR="00583F5F">
        <w:rPr>
          <w:i/>
        </w:rPr>
        <w:t>Firstgen-bkg</w:t>
      </w:r>
      <w:proofErr w:type="spellEnd"/>
      <w:r w:rsidR="00583F5F">
        <w:rPr>
          <w:i/>
        </w:rPr>
        <w:t xml:space="preserve"> </w:t>
      </w:r>
      <w:r w:rsidR="00583F5F">
        <w:t xml:space="preserve">First-generation background, </w:t>
      </w:r>
      <w:r w:rsidR="00583F5F">
        <w:rPr>
          <w:i/>
        </w:rPr>
        <w:t>Foreign-</w:t>
      </w:r>
      <w:proofErr w:type="spellStart"/>
      <w:r w:rsidR="00583F5F">
        <w:rPr>
          <w:i/>
        </w:rPr>
        <w:t>bkg</w:t>
      </w:r>
      <w:proofErr w:type="spellEnd"/>
      <w:r w:rsidR="00583F5F">
        <w:rPr>
          <w:i/>
        </w:rPr>
        <w:t xml:space="preserve"> </w:t>
      </w:r>
      <w:r w:rsidR="00583F5F">
        <w:t>Foreign background</w:t>
      </w:r>
    </w:p>
    <w:p w14:paraId="2050DBE9" w14:textId="77777777" w:rsidR="008A4E15" w:rsidRPr="00CB0EDA" w:rsidRDefault="008A4E15" w:rsidP="00CB0EDA">
      <w:pPr>
        <w:pStyle w:val="Source"/>
      </w:pPr>
      <w:r w:rsidRPr="00CB0EDA">
        <w:t>**Significant p&lt; .001</w:t>
      </w:r>
    </w:p>
    <w:p w14:paraId="59112A1F" w14:textId="77777777" w:rsidR="008A4E15" w:rsidRPr="00CB0EDA" w:rsidRDefault="008A4E15" w:rsidP="00CB0EDA">
      <w:pPr>
        <w:pStyle w:val="Source"/>
      </w:pPr>
      <w:r w:rsidRPr="00311A5E">
        <w:t>1</w:t>
      </w:r>
      <w:r w:rsidRPr="00CB0EDA">
        <w:t xml:space="preserve"> Female category (relative to male)</w:t>
      </w:r>
    </w:p>
    <w:p w14:paraId="365119A6" w14:textId="30544D23" w:rsidR="00730E43" w:rsidRDefault="008A4E15" w:rsidP="00CB0EDA">
      <w:pPr>
        <w:pStyle w:val="Source"/>
      </w:pPr>
      <w:r w:rsidRPr="00311A5E">
        <w:t>2</w:t>
      </w:r>
      <w:r w:rsidRPr="00CB0EDA">
        <w:t xml:space="preserve"> Reference </w:t>
      </w:r>
      <w:proofErr w:type="gramStart"/>
      <w:r w:rsidRPr="00CB0EDA">
        <w:t>category</w:t>
      </w:r>
      <w:proofErr w:type="gramEnd"/>
      <w:r w:rsidR="000A6CAB">
        <w:t>.</w:t>
      </w:r>
    </w:p>
    <w:p w14:paraId="0289D51C" w14:textId="390D6B96" w:rsidR="008A4E15" w:rsidRPr="00CB0EDA" w:rsidRDefault="00730E43" w:rsidP="00CB0EDA">
      <w:pPr>
        <w:pStyle w:val="Source"/>
      </w:pPr>
      <w:r>
        <w:t xml:space="preserve">Source: Cooper, Berry and </w:t>
      </w:r>
      <w:proofErr w:type="spellStart"/>
      <w:r>
        <w:t>Baglin</w:t>
      </w:r>
      <w:proofErr w:type="spellEnd"/>
      <w:r>
        <w:t xml:space="preserve"> (2018). </w:t>
      </w:r>
      <w:r w:rsidRPr="00311A5E">
        <w:t xml:space="preserve">Reprinted with permission from Copyright clearance </w:t>
      </w:r>
      <w:proofErr w:type="spellStart"/>
      <w:r w:rsidRPr="00311A5E">
        <w:t>center</w:t>
      </w:r>
      <w:proofErr w:type="spellEnd"/>
      <w:r w:rsidRPr="00311A5E">
        <w:t>: Springer Nature, Research in Science Education © 2018.</w:t>
      </w:r>
    </w:p>
    <w:p w14:paraId="7CC15195" w14:textId="6051BB10" w:rsidR="008A4E15" w:rsidRPr="00CB0EDA" w:rsidRDefault="008A4E15" w:rsidP="00CB0EDA">
      <w:pPr>
        <w:pStyle w:val="Source"/>
        <w:ind w:left="0" w:firstLine="0"/>
      </w:pPr>
    </w:p>
    <w:p w14:paraId="1F63CD1A" w14:textId="293324CB" w:rsidR="008A4E15" w:rsidRDefault="008A4E15" w:rsidP="006563EB">
      <w:pPr>
        <w:pStyle w:val="Text"/>
      </w:pPr>
      <w:r>
        <w:t>The analysis of the LSAY data indicated that being Indigenous was the strongest negative predictor of post-16 science participation in this study. Additionally, as students’ SES status increased, so too did the likelihood of students’ post-16 participation in a science subject. An interesting finding of this study was the non-significant difference in the odds of either gender reporting participation in a science subject. This is a limitation of the study, as the variables used in the model did not allow the researchers to differentiate between different types of science subjects within schools (</w:t>
      </w:r>
      <w:r w:rsidR="004222CD">
        <w:t>for example,</w:t>
      </w:r>
      <w:r>
        <w:t xml:space="preserve"> physics</w:t>
      </w:r>
      <w:r w:rsidR="004222CD">
        <w:t xml:space="preserve"> or </w:t>
      </w:r>
      <w:r>
        <w:t>biology).</w:t>
      </w:r>
      <w:r w:rsidR="00D45BB4">
        <w:t xml:space="preserve"> In subsequent analysis of the Y15 cohort, gender was identified as a significant predictor of science participation at the domain level (Cooper &amp; Berry 2020). For instance, in biology, females are over-represented while in physics, they are under-represented. Similar</w:t>
      </w:r>
      <w:r w:rsidR="00037E1B">
        <w:t>ly</w:t>
      </w:r>
      <w:r w:rsidR="00D45BB4">
        <w:t>, o</w:t>
      </w:r>
      <w:r>
        <w:t>ther studies report female underrepresentation in physics subject participation at the senior secondary level (Fullarton et al. 2003; Higgins 2018) and more broadly in other STEM-related subjects (</w:t>
      </w:r>
      <w:r w:rsidR="00721F54">
        <w:t xml:space="preserve">for example, </w:t>
      </w:r>
      <w:r>
        <w:t>engineering). Differences in ancestry background and science participation were also noted, possibly highlighting the effect of skilled-migration policy, the cultural valuing of science in Australia and/or influences on students’ science participation.</w:t>
      </w:r>
    </w:p>
    <w:p w14:paraId="52C00E53" w14:textId="77777777" w:rsidR="008A4E15" w:rsidRDefault="008A4E15" w:rsidP="008A4E15">
      <w:pPr>
        <w:pStyle w:val="Heading2"/>
      </w:pPr>
      <w:bookmarkStart w:id="65" w:name="_Toc15048889"/>
      <w:bookmarkStart w:id="66" w:name="_Toc19803902"/>
      <w:r>
        <w:t>The value of the LSAY?</w:t>
      </w:r>
      <w:bookmarkEnd w:id="65"/>
      <w:bookmarkEnd w:id="66"/>
    </w:p>
    <w:p w14:paraId="416E9167" w14:textId="132F965C" w:rsidR="00A678DD" w:rsidRDefault="00A678DD" w:rsidP="000D2278">
      <w:pPr>
        <w:pStyle w:val="Text"/>
      </w:pPr>
      <w:r>
        <w:t>The dataset is a secondary data source (that is, the authors did not collect the data in the course of their research) and has what may be viewed as advantage</w:t>
      </w:r>
      <w:r w:rsidR="00731281">
        <w:t>s</w:t>
      </w:r>
      <w:r>
        <w:t xml:space="preserve"> and disadvantages within the context of its use. In relation to the </w:t>
      </w:r>
      <w:r w:rsidR="00BF193B">
        <w:t xml:space="preserve">Cooper, Berry and </w:t>
      </w:r>
      <w:proofErr w:type="spellStart"/>
      <w:r w:rsidR="00BF193B">
        <w:t>Baglin</w:t>
      </w:r>
      <w:proofErr w:type="spellEnd"/>
      <w:r w:rsidR="00731281">
        <w:t xml:space="preserve"> (2018)</w:t>
      </w:r>
      <w:r w:rsidR="00BF193B">
        <w:t xml:space="preserve"> study, there were several advantages in using this data set, including its representative scope, the potential to generate new insights, relative ease of access and its </w:t>
      </w:r>
      <w:r w:rsidR="00E923F0">
        <w:t>free access</w:t>
      </w:r>
      <w:r w:rsidR="00BF193B">
        <w:t xml:space="preserve">. Broadly speaking however, it is important to be mindful that stakeholders should be cautious with secondary data source analysis because the data are likely to have been originally collected for different research aims, the data set may be relatively old and there may be limited </w:t>
      </w:r>
      <w:r w:rsidR="00BF193B">
        <w:lastRenderedPageBreak/>
        <w:t>control over data quality (Cheng &amp; Phillips 2014). None of these were relevant concerns in relation to use of the LSAY dataset.</w:t>
      </w:r>
    </w:p>
    <w:p w14:paraId="196F88F6" w14:textId="7B5C8D79" w:rsidR="00BF193B" w:rsidRDefault="008A4E15" w:rsidP="00AB6C77">
      <w:pPr>
        <w:pStyle w:val="Text"/>
      </w:pPr>
      <w:r>
        <w:t>While a thorough discussion of the results can be found in Cooper</w:t>
      </w:r>
      <w:r w:rsidR="00D356A9">
        <w:t xml:space="preserve">, Berry and </w:t>
      </w:r>
      <w:proofErr w:type="spellStart"/>
      <w:r w:rsidR="00D356A9">
        <w:t>Baglin</w:t>
      </w:r>
      <w:proofErr w:type="spellEnd"/>
      <w:r w:rsidR="00D356A9">
        <w:t xml:space="preserve"> </w:t>
      </w:r>
      <w:r>
        <w:t>(2018), a key message in this chapter is the considerable value of the LSAY initiative. While demographics cannot be changed, the narratives within the LSAY data, together with careful analysis, show a variety of student insights and trajectories. This evidence</w:t>
      </w:r>
      <w:r w:rsidR="0085230A">
        <w:t xml:space="preserve"> </w:t>
      </w:r>
      <w:r>
        <w:t>base is of value to a variety of stakeholders</w:t>
      </w:r>
      <w:r w:rsidR="0085230A">
        <w:t>,</w:t>
      </w:r>
      <w:r>
        <w:t xml:space="preserve"> who may use these data to justify funding decisions, policy changes and/or curriculum initiatives. Consequently, it could be argued that the LSAY initiative has significant potential to promote notions of fairness and inclusion in schools</w:t>
      </w:r>
      <w:r w:rsidR="008E7873">
        <w:t>,</w:t>
      </w:r>
      <w:r>
        <w:t xml:space="preserve"> important elements worth advancing in our education system and beyond.</w:t>
      </w:r>
      <w:bookmarkStart w:id="67" w:name="_Toc15048890"/>
    </w:p>
    <w:p w14:paraId="28AC5CCF" w14:textId="77777777" w:rsidR="00AB6C77" w:rsidRDefault="00AB6C77" w:rsidP="00AB6C77">
      <w:pPr>
        <w:pStyle w:val="Text"/>
      </w:pPr>
    </w:p>
    <w:p w14:paraId="69BE006B" w14:textId="1743A722" w:rsidR="008A4E15" w:rsidRDefault="008A4E15" w:rsidP="00FB751C">
      <w:pPr>
        <w:pStyle w:val="Heading2"/>
        <w:spacing w:before="0" w:after="240"/>
      </w:pPr>
      <w:bookmarkStart w:id="68" w:name="_Toc19803903"/>
      <w:r>
        <w:t>References</w:t>
      </w:r>
      <w:bookmarkEnd w:id="67"/>
      <w:bookmarkEnd w:id="68"/>
    </w:p>
    <w:p w14:paraId="3922EB7A" w14:textId="67845663" w:rsidR="008A4E15" w:rsidRDefault="008A4E15" w:rsidP="00FB751C">
      <w:pPr>
        <w:pStyle w:val="References"/>
      </w:pPr>
      <w:proofErr w:type="spellStart"/>
      <w:r>
        <w:t>Akther</w:t>
      </w:r>
      <w:proofErr w:type="spellEnd"/>
      <w:r>
        <w:t xml:space="preserve">, A &amp; Robinson, J 2014, ‘Immigrant students’ academic performance in Australia, New Zealand, Canada and Singapore’, </w:t>
      </w:r>
      <w:r w:rsidR="002A4282">
        <w:t>Joint AARE-NZARE 2014 Conference, Brisbane, 2014</w:t>
      </w:r>
      <w:r w:rsidR="008E7873">
        <w:t>,</w:t>
      </w:r>
      <w:r w:rsidR="002A4282">
        <w:t xml:space="preserve"> </w:t>
      </w:r>
      <w:r>
        <w:t>&lt;http://www.aare.edu.au/publications-database.php/9559/immigrantstudents-academic-performance-in-australia-new-zealand-canada-and-singapore&gt;.</w:t>
      </w:r>
    </w:p>
    <w:p w14:paraId="3B2F7E0C" w14:textId="6B51E2F8" w:rsidR="00F013AC" w:rsidRPr="000957FA" w:rsidRDefault="00F013AC" w:rsidP="00FB751C">
      <w:pPr>
        <w:pStyle w:val="References"/>
      </w:pPr>
      <w:r>
        <w:t xml:space="preserve">Cheng, H G &amp; Phillips, M R 2014, ‘Secondary analysis of existing data: opportunities and implementation’, </w:t>
      </w:r>
      <w:r w:rsidR="000957FA">
        <w:rPr>
          <w:i/>
        </w:rPr>
        <w:t>Shanghai Archives of Psychiatry</w:t>
      </w:r>
      <w:r w:rsidR="000957FA">
        <w:t>, vol.26, no.6, pp. 371-375.</w:t>
      </w:r>
    </w:p>
    <w:p w14:paraId="169DF6F3" w14:textId="3D90F771" w:rsidR="00D45BB4" w:rsidRPr="00431D5D" w:rsidRDefault="00D45BB4" w:rsidP="00D45BB4">
      <w:pPr>
        <w:pStyle w:val="References"/>
      </w:pPr>
      <w:r>
        <w:t xml:space="preserve">Cooper, G &amp; Berry, A 2020, ‘Demographic predictors of senior secondary participation in biology, physics, chemistry and earth/space sciences: students’ access to cultural, social and science capital’, </w:t>
      </w:r>
      <w:r>
        <w:rPr>
          <w:i/>
          <w:iCs/>
        </w:rPr>
        <w:t>International Journal of Science Education</w:t>
      </w:r>
      <w:r>
        <w:t>, vol.42, no.1, pp. 151-166, DOI: 10.1080/09500693.2019.1708510.</w:t>
      </w:r>
    </w:p>
    <w:p w14:paraId="0BB082A9" w14:textId="2623EBDD" w:rsidR="008A4E15" w:rsidRPr="00B23879" w:rsidRDefault="008A4E15" w:rsidP="00FB751C">
      <w:pPr>
        <w:pStyle w:val="References"/>
      </w:pPr>
      <w:r>
        <w:t xml:space="preserve">Cooper, G, Berry, A &amp; </w:t>
      </w:r>
      <w:proofErr w:type="spellStart"/>
      <w:r>
        <w:t>Baglin</w:t>
      </w:r>
      <w:proofErr w:type="spellEnd"/>
      <w:r>
        <w:t xml:space="preserve">, J 2018, ‘Demographic predictors of students’ science participation over the age of 16: an Australian case study’, </w:t>
      </w:r>
      <w:r>
        <w:rPr>
          <w:i/>
        </w:rPr>
        <w:t>Research in Science Education</w:t>
      </w:r>
      <w:r>
        <w:t>, DOI: 10.1007/s11165-018-9692-0.</w:t>
      </w:r>
    </w:p>
    <w:p w14:paraId="0D9150FC" w14:textId="68418AF6" w:rsidR="008A4E15" w:rsidRPr="00986AA9" w:rsidRDefault="008A4E15" w:rsidP="00FB751C">
      <w:pPr>
        <w:pStyle w:val="References"/>
      </w:pPr>
      <w:r>
        <w:t xml:space="preserve">Dillion, J 2009, ‘On scientific literacy and curriculum reform’, </w:t>
      </w:r>
      <w:r>
        <w:rPr>
          <w:i/>
        </w:rPr>
        <w:t>International Journal of Science Education</w:t>
      </w:r>
      <w:r>
        <w:t>, Part B, vol.4, no.3, pp.201</w:t>
      </w:r>
      <w:r w:rsidR="008E7873">
        <w:t>−</w:t>
      </w:r>
      <w:r>
        <w:t>13.</w:t>
      </w:r>
    </w:p>
    <w:p w14:paraId="1ADC80E2" w14:textId="5AF2FDA6" w:rsidR="008A4E15" w:rsidRDefault="008A4E15" w:rsidP="00FB751C">
      <w:pPr>
        <w:pStyle w:val="References"/>
      </w:pPr>
      <w:proofErr w:type="spellStart"/>
      <w:r>
        <w:t>Dreise</w:t>
      </w:r>
      <w:proofErr w:type="spellEnd"/>
      <w:r>
        <w:t xml:space="preserve">, T &amp; Thomson, S 2014, ‘Unfinished business: PISA shows indigenous youth are being left behind’, </w:t>
      </w:r>
      <w:r w:rsidR="00D16C14">
        <w:t>Australian Council for Educational Research</w:t>
      </w:r>
      <w:r>
        <w:t>, &lt;http://research.acer.edu.au/cgi/viewcontent.cgi?article=1037&amp;context=indigenous_education&gt;.</w:t>
      </w:r>
    </w:p>
    <w:p w14:paraId="18490D76" w14:textId="36F9BE32" w:rsidR="008A4E15" w:rsidRDefault="008A4E15" w:rsidP="00FB751C">
      <w:pPr>
        <w:pStyle w:val="References"/>
      </w:pPr>
      <w:r>
        <w:t xml:space="preserve">Fullarton, S, Walker, M, </w:t>
      </w:r>
      <w:proofErr w:type="spellStart"/>
      <w:r>
        <w:t>Ainley</w:t>
      </w:r>
      <w:proofErr w:type="spellEnd"/>
      <w:r>
        <w:t xml:space="preserve">, J &amp; Hillman, K 2003, </w:t>
      </w:r>
      <w:r w:rsidRPr="00311A5E">
        <w:rPr>
          <w:i/>
        </w:rPr>
        <w:t xml:space="preserve">Patterns of participation in </w:t>
      </w:r>
      <w:r w:rsidR="008B3252" w:rsidRPr="008B3252">
        <w:rPr>
          <w:i/>
          <w:iCs/>
        </w:rPr>
        <w:t>Y</w:t>
      </w:r>
      <w:r w:rsidRPr="008B3252">
        <w:rPr>
          <w:i/>
          <w:iCs/>
        </w:rPr>
        <w:t>ear 12</w:t>
      </w:r>
      <w:r>
        <w:t xml:space="preserve">, </w:t>
      </w:r>
      <w:r w:rsidR="00C96E02" w:rsidRPr="00311A5E">
        <w:t xml:space="preserve">LSAY </w:t>
      </w:r>
      <w:r w:rsidR="008B3252" w:rsidRPr="008B3252">
        <w:rPr>
          <w:iCs/>
        </w:rPr>
        <w:t>research reports</w:t>
      </w:r>
      <w:r w:rsidR="00C96E02" w:rsidRPr="008B3252">
        <w:rPr>
          <w:iCs/>
        </w:rPr>
        <w:t>, no.33</w:t>
      </w:r>
      <w:r w:rsidR="00971E23">
        <w:rPr>
          <w:i/>
        </w:rPr>
        <w:t>,</w:t>
      </w:r>
      <w:r w:rsidR="00C96E02">
        <w:rPr>
          <w:i/>
        </w:rPr>
        <w:t xml:space="preserve"> </w:t>
      </w:r>
      <w:r w:rsidR="00053DDD">
        <w:t xml:space="preserve">Australian Council </w:t>
      </w:r>
      <w:proofErr w:type="gramStart"/>
      <w:r w:rsidR="00053DDD">
        <w:t>For</w:t>
      </w:r>
      <w:proofErr w:type="gramEnd"/>
      <w:r w:rsidR="00053DDD">
        <w:t xml:space="preserve"> Educational </w:t>
      </w:r>
      <w:r w:rsidR="00053DDD" w:rsidRPr="00311A5E">
        <w:t>Research</w:t>
      </w:r>
      <w:r w:rsidR="00494882">
        <w:t xml:space="preserve">, </w:t>
      </w:r>
      <w:r w:rsidR="00053DDD">
        <w:t>Camberwell, Vic.</w:t>
      </w:r>
      <w:r>
        <w:t>, &lt;http://research.acer.edu.au/lsay_research/37/&gt;.</w:t>
      </w:r>
    </w:p>
    <w:p w14:paraId="4596138D" w14:textId="2602456E" w:rsidR="008A4E15" w:rsidRPr="00986AA9" w:rsidRDefault="008A4E15" w:rsidP="00FB751C">
      <w:pPr>
        <w:pStyle w:val="References"/>
      </w:pPr>
      <w:proofErr w:type="spellStart"/>
      <w:r>
        <w:t>Gorard</w:t>
      </w:r>
      <w:proofErr w:type="spellEnd"/>
      <w:r>
        <w:t xml:space="preserve">, S &amp; See, B 2009, ‘The impact of socio-economic status on participation and attainment in science’, </w:t>
      </w:r>
      <w:r>
        <w:rPr>
          <w:i/>
        </w:rPr>
        <w:t>Studies in Science Education</w:t>
      </w:r>
      <w:r>
        <w:t>, vol.45, no.1, pp.93</w:t>
      </w:r>
      <w:r w:rsidR="00494882">
        <w:t>−</w:t>
      </w:r>
      <w:r>
        <w:t>129, &lt;https://doi.org/10.1080/03057260802681821&gt;.</w:t>
      </w:r>
    </w:p>
    <w:p w14:paraId="2978DE18" w14:textId="402E4874" w:rsidR="008A4E15" w:rsidRDefault="008A4E15" w:rsidP="00FB751C">
      <w:pPr>
        <w:pStyle w:val="References"/>
      </w:pPr>
      <w:r>
        <w:t xml:space="preserve">Higgins, J 2018, ‘Why not physics? A snapshot of girls’ uptake at A-level’, </w:t>
      </w:r>
      <w:r w:rsidR="00C80472">
        <w:t>a</w:t>
      </w:r>
      <w:r w:rsidR="000F5784">
        <w:t xml:space="preserve">n Institute of Physics </w:t>
      </w:r>
      <w:r w:rsidR="00C80472">
        <w:t>r</w:t>
      </w:r>
      <w:r w:rsidR="000F5784">
        <w:t xml:space="preserve">eport, </w:t>
      </w:r>
      <w:r>
        <w:t>&lt;https://www.iop.org/publications/iop/2018/file_71495.pdf&gt;.</w:t>
      </w:r>
    </w:p>
    <w:p w14:paraId="1CECF857" w14:textId="55E0BFB1" w:rsidR="008A4E15" w:rsidRPr="00986AA9" w:rsidRDefault="008A4E15" w:rsidP="00FB751C">
      <w:pPr>
        <w:pStyle w:val="References"/>
      </w:pPr>
      <w:r>
        <w:t xml:space="preserve">Hobbs, L, Clark, J C &amp; Plant, B 2018, ‘Successful students </w:t>
      </w:r>
      <w:r w:rsidR="00C80472">
        <w:t>−</w:t>
      </w:r>
      <w:r>
        <w:t xml:space="preserve"> </w:t>
      </w:r>
      <w:r w:rsidR="00892A97">
        <w:t>STEM</w:t>
      </w:r>
      <w:r>
        <w:t xml:space="preserve"> program: teacher learning through a multifaceted vision for stem education’, in R Jorgensen &amp; K Larkin</w:t>
      </w:r>
      <w:r w:rsidR="00BE71F5">
        <w:t xml:space="preserve"> (eds)</w:t>
      </w:r>
      <w:r>
        <w:t xml:space="preserve">, </w:t>
      </w:r>
      <w:r w:rsidR="00892A97">
        <w:rPr>
          <w:i/>
        </w:rPr>
        <w:t>STEM</w:t>
      </w:r>
      <w:r>
        <w:rPr>
          <w:i/>
        </w:rPr>
        <w:t xml:space="preserve"> </w:t>
      </w:r>
      <w:r w:rsidR="00892A97">
        <w:rPr>
          <w:i/>
        </w:rPr>
        <w:t>education in the junior secondary: the state of play</w:t>
      </w:r>
      <w:r>
        <w:t>, Springer</w:t>
      </w:r>
      <w:r w:rsidR="00892A97">
        <w:t>,</w:t>
      </w:r>
      <w:r w:rsidR="00892A97" w:rsidRPr="00892A97">
        <w:t xml:space="preserve"> </w:t>
      </w:r>
      <w:r w:rsidR="00892A97">
        <w:t>Singapore</w:t>
      </w:r>
      <w:r>
        <w:t>.</w:t>
      </w:r>
    </w:p>
    <w:p w14:paraId="49FFEF3B" w14:textId="45A30847" w:rsidR="008A4E15" w:rsidRPr="00986AA9" w:rsidRDefault="008A4E15" w:rsidP="00FB751C">
      <w:pPr>
        <w:pStyle w:val="References"/>
      </w:pPr>
      <w:r>
        <w:t xml:space="preserve">Kennedy, JP, Lyons, T &amp; Quinn, F 2014, ‘The continuing decline of science and mathematics enrolments in Australian high schools’, </w:t>
      </w:r>
      <w:r>
        <w:rPr>
          <w:i/>
        </w:rPr>
        <w:t>Teaching Science</w:t>
      </w:r>
      <w:r>
        <w:t>, vol.60, no.2, pp.34</w:t>
      </w:r>
      <w:r w:rsidR="00892A97">
        <w:t>−</w:t>
      </w:r>
      <w:r>
        <w:t>46.</w:t>
      </w:r>
    </w:p>
    <w:p w14:paraId="7A898B2A" w14:textId="28046D92" w:rsidR="008A4E15" w:rsidRDefault="008A4E15" w:rsidP="00FB751C">
      <w:pPr>
        <w:pStyle w:val="References"/>
      </w:pPr>
      <w:r>
        <w:t>UNESCO</w:t>
      </w:r>
      <w:r w:rsidR="00731281">
        <w:t xml:space="preserve"> (United Nations Educational, Scientific and Cultural Organization)</w:t>
      </w:r>
      <w:r>
        <w:t xml:space="preserve"> 2017, ‘Cracking the code: girls’ and women’s education in science, technology, engineering and mathematics (STEM)’, unesdoc.unesco.org, &lt;http://unesdoc.unesco.org/images/0025/002534/253479E.pdf&gt;.</w:t>
      </w:r>
    </w:p>
    <w:p w14:paraId="41BD6525" w14:textId="77777777" w:rsidR="000F5784" w:rsidRDefault="000F5784" w:rsidP="0009100C"/>
    <w:p w14:paraId="76C7A84F" w14:textId="77777777" w:rsidR="000F5784" w:rsidRDefault="000F5784" w:rsidP="0009100C"/>
    <w:p w14:paraId="0CA528E3" w14:textId="2C4D4142" w:rsidR="00ED0C08" w:rsidRDefault="008A4E15" w:rsidP="0009100C">
      <w:r>
        <w:br w:type="page"/>
      </w:r>
    </w:p>
    <w:p w14:paraId="01DB1A2F" w14:textId="7367D358" w:rsidR="000F5784" w:rsidRDefault="000F5784" w:rsidP="00E612BF">
      <w:pPr>
        <w:pStyle w:val="Heading1"/>
      </w:pPr>
      <w:bookmarkStart w:id="69" w:name="_Toc19803904"/>
      <w:r>
        <w:lastRenderedPageBreak/>
        <w:t>Inequality in higher education and labour market benefits for young Australians</w:t>
      </w:r>
      <w:bookmarkEnd w:id="69"/>
    </w:p>
    <w:p w14:paraId="4D882995" w14:textId="36F02049" w:rsidR="000F5784" w:rsidRPr="00311A5E" w:rsidRDefault="000F5784" w:rsidP="000F5784">
      <w:pPr>
        <w:pStyle w:val="Text"/>
        <w:rPr>
          <w:i/>
          <w:sz w:val="22"/>
          <w:szCs w:val="22"/>
        </w:rPr>
      </w:pPr>
      <w:r w:rsidRPr="00311A5E">
        <w:rPr>
          <w:i/>
          <w:sz w:val="22"/>
          <w:szCs w:val="22"/>
        </w:rPr>
        <w:t>Jung-Sook Lee</w:t>
      </w:r>
      <w:r w:rsidR="00725D79">
        <w:rPr>
          <w:i/>
          <w:sz w:val="22"/>
          <w:szCs w:val="22"/>
        </w:rPr>
        <w:t>, University of New South Wales</w:t>
      </w:r>
    </w:p>
    <w:p w14:paraId="7BB00EEC" w14:textId="5C4F5420" w:rsidR="000F5784" w:rsidRPr="004134E3" w:rsidRDefault="000F5784" w:rsidP="000F5784">
      <w:pPr>
        <w:rPr>
          <w:i/>
        </w:rPr>
      </w:pPr>
      <w:r w:rsidRPr="004134E3">
        <w:rPr>
          <w:i/>
        </w:rPr>
        <w:t>The analyses in this section have been drawn from a research article</w:t>
      </w:r>
      <w:r w:rsidR="001F3D2C">
        <w:rPr>
          <w:i/>
        </w:rPr>
        <w:t xml:space="preserve"> by Lee published in 2014</w:t>
      </w:r>
      <w:r w:rsidR="009A1D66">
        <w:rPr>
          <w:i/>
        </w:rPr>
        <w:t xml:space="preserve">, entitled </w:t>
      </w:r>
      <w:r w:rsidR="0005589D">
        <w:rPr>
          <w:i/>
        </w:rPr>
        <w:t>‘</w:t>
      </w:r>
      <w:r w:rsidR="009A1D66" w:rsidRPr="0005589D">
        <w:rPr>
          <w:i/>
          <w:iCs/>
        </w:rPr>
        <w:t>The attainability of university degrees and their labour market benefits for young Australians’</w:t>
      </w:r>
      <w:r w:rsidR="00725D79">
        <w:rPr>
          <w:i/>
        </w:rPr>
        <w:t xml:space="preserve">, </w:t>
      </w:r>
      <w:r w:rsidR="00725D79">
        <w:t>Higher Education</w:t>
      </w:r>
      <w:r w:rsidR="00725D79">
        <w:rPr>
          <w:i/>
        </w:rPr>
        <w:t>, vol.68, no.3, pp. 449-69.</w:t>
      </w:r>
      <w:r w:rsidRPr="004134E3">
        <w:rPr>
          <w:i/>
        </w:rPr>
        <w:t xml:space="preserve"> </w:t>
      </w:r>
    </w:p>
    <w:p w14:paraId="2C3963C1" w14:textId="568F6240" w:rsidR="000F5784" w:rsidRDefault="000F5784" w:rsidP="006170B7">
      <w:pPr>
        <w:pStyle w:val="Text"/>
      </w:pPr>
      <w:r>
        <w:t xml:space="preserve">Higher levels of education provide many benefits in the labour market. More educated people enjoy higher income, increased opportunities for employment, better job security, and higher occupational prestige (Leigh 2008; Leigh &amp; Ryan 2008; Miller, Mulvey &amp; Martin 2006; </w:t>
      </w:r>
      <w:r w:rsidR="00731281">
        <w:t>OECD</w:t>
      </w:r>
      <w:r>
        <w:t xml:space="preserve"> 2012; </w:t>
      </w:r>
      <w:proofErr w:type="spellStart"/>
      <w:r>
        <w:t>Rummery</w:t>
      </w:r>
      <w:proofErr w:type="spellEnd"/>
      <w:r>
        <w:t>, Vella &amp; Verbeek 1999). The benefits of higher education, however, are not equally distributed among university graduates (Gerber &amp; Cheung 2008). The prestige of universities and fields of study have been identified as possible sources of this heterogeneity. In education literature, these factors are referred to as the vertical dimension (</w:t>
      </w:r>
      <w:r w:rsidR="00836ED0">
        <w:t xml:space="preserve">that is, </w:t>
      </w:r>
      <w:r>
        <w:t>difference by years or levels of education) and the horizontal dimension (</w:t>
      </w:r>
      <w:r w:rsidR="00836ED0">
        <w:t>that is,</w:t>
      </w:r>
      <w:r>
        <w:t xml:space="preserve"> difference by quality or types of education) of stratification in education (</w:t>
      </w:r>
      <w:r w:rsidR="00836ED0">
        <w:t>for example,</w:t>
      </w:r>
      <w:r>
        <w:t xml:space="preserve"> Gerber &amp; Cheung 2008). Despite the Australian </w:t>
      </w:r>
      <w:r w:rsidR="00836ED0">
        <w:t>G</w:t>
      </w:r>
      <w:r>
        <w:t>overnment’s endeavo</w:t>
      </w:r>
      <w:r w:rsidR="00836ED0">
        <w:t>u</w:t>
      </w:r>
      <w:r>
        <w:t>r to ensure quality education for all (Ministerial Council on Education</w:t>
      </w:r>
      <w:r w:rsidR="0091177B">
        <w:t>,</w:t>
      </w:r>
      <w:r>
        <w:t xml:space="preserve"> Employment</w:t>
      </w:r>
      <w:r w:rsidR="0091177B">
        <w:t>,</w:t>
      </w:r>
      <w:r>
        <w:t xml:space="preserve"> Training and Youth Affairs 2008), inequality in education persists (</w:t>
      </w:r>
      <w:r w:rsidR="00836ED0">
        <w:t>ABS</w:t>
      </w:r>
      <w:r>
        <w:t xml:space="preserve"> 2011), and this may contribute to the intergenerational transmission of social status in Australian society. Therefore,</w:t>
      </w:r>
      <w:r w:rsidR="00F8045A">
        <w:t xml:space="preserve"> using data from </w:t>
      </w:r>
      <w:r w:rsidR="00731281">
        <w:t xml:space="preserve">the Longitudinal Surveys of Australian Youth (LSAY) </w:t>
      </w:r>
      <w:r w:rsidR="00F8045A">
        <w:t>Y95,</w:t>
      </w:r>
      <w:r>
        <w:t xml:space="preserve"> I estimated the labour market benefits of education and investigated the influence of family background on the attainment of a university degree. I examined both vertical and horizontal stratification in education and considered both monetary and non-monetary benefits.</w:t>
      </w:r>
    </w:p>
    <w:p w14:paraId="30B4ABDF" w14:textId="77777777" w:rsidR="000F5784" w:rsidRDefault="000F5784" w:rsidP="000F5784">
      <w:pPr>
        <w:pStyle w:val="Heading2"/>
      </w:pPr>
      <w:bookmarkStart w:id="70" w:name="_Toc15048892"/>
      <w:bookmarkStart w:id="71" w:name="_Toc19803905"/>
      <w:r>
        <w:t>Benefits of education in the labour market</w:t>
      </w:r>
      <w:bookmarkEnd w:id="70"/>
      <w:bookmarkEnd w:id="71"/>
    </w:p>
    <w:p w14:paraId="1E324BCD" w14:textId="2F0777E2" w:rsidR="000F5784" w:rsidRDefault="000F5784" w:rsidP="006170B7">
      <w:pPr>
        <w:pStyle w:val="Text"/>
      </w:pPr>
      <w:r>
        <w:t>Individuals with a university degree enjoyed an income advantage over those without, even after controlling for ability, individual characteristics, and family background (</w:t>
      </w:r>
      <w:r w:rsidR="004D6B90">
        <w:t>f</w:t>
      </w:r>
      <w:r>
        <w:t xml:space="preserve">igure </w:t>
      </w:r>
      <w:r w:rsidR="000E2026">
        <w:t>2</w:t>
      </w:r>
      <w:r>
        <w:t>). At age 22</w:t>
      </w:r>
      <w:r w:rsidR="004D6B90">
        <w:t xml:space="preserve"> years</w:t>
      </w:r>
      <w:r>
        <w:t xml:space="preserve">, </w:t>
      </w:r>
      <w:r w:rsidR="004D6B90">
        <w:t xml:space="preserve">the </w:t>
      </w:r>
      <w:r>
        <w:t>mean gross weekly pay of young people with a bachelor’s or higher degree did not differ significantly from that of Year 12 completers. However, income growth rates for young people with a bachelor’s or higher degree were higher than those of others</w:t>
      </w:r>
      <w:r w:rsidR="00B06748">
        <w:t>.</w:t>
      </w:r>
      <w:r>
        <w:t xml:space="preserve"> </w:t>
      </w:r>
      <w:r w:rsidR="00B06748">
        <w:t>A</w:t>
      </w:r>
      <w:r>
        <w:t xml:space="preserve">s a result, income gaps between young people with a bachelor’s or higher degree and the rest increased by age 26 </w:t>
      </w:r>
      <w:r w:rsidR="00F714CB">
        <w:t xml:space="preserve">years </w:t>
      </w:r>
      <w:r>
        <w:t xml:space="preserve">(in 2006). At age 26, men with a university degree had </w:t>
      </w:r>
      <w:r w:rsidR="00F714CB">
        <w:t xml:space="preserve">a </w:t>
      </w:r>
      <w:r>
        <w:t xml:space="preserve">14.4% higher mean income ($6668/year more) than men with Year 12 completion and </w:t>
      </w:r>
      <w:r w:rsidR="009164DD">
        <w:t xml:space="preserve">a </w:t>
      </w:r>
      <w:r>
        <w:t>17.9% higher mean income ($8276/year more) than men without Year 12, all else</w:t>
      </w:r>
      <w:r w:rsidR="009164DD">
        <w:t xml:space="preserve"> being</w:t>
      </w:r>
      <w:r>
        <w:t xml:space="preserve"> equal. At age 26</w:t>
      </w:r>
      <w:r w:rsidR="009164DD">
        <w:t xml:space="preserve"> years</w:t>
      </w:r>
      <w:r>
        <w:t xml:space="preserve">, women with a university degree had </w:t>
      </w:r>
      <w:r w:rsidR="009164DD">
        <w:t xml:space="preserve">a </w:t>
      </w:r>
      <w:r>
        <w:t>24.2% higher mean income ($10</w:t>
      </w:r>
      <w:r w:rsidR="009164DD">
        <w:t> </w:t>
      </w:r>
      <w:r>
        <w:t xml:space="preserve">220/year more) than women with Year 12 completion and </w:t>
      </w:r>
      <w:r w:rsidR="009164DD">
        <w:t xml:space="preserve">a </w:t>
      </w:r>
      <w:r>
        <w:t>33.8% higher mean income ($14 313/year more) than women without Year 12. The mean income of female university graduates was comparable to the mean income of male university graduates, whereas the mean income of other women was relatively lower than that of men with the same educational levels.</w:t>
      </w:r>
    </w:p>
    <w:p w14:paraId="71FC755A" w14:textId="77777777" w:rsidR="00FB751C" w:rsidRDefault="00FB751C" w:rsidP="005C670F">
      <w:pPr>
        <w:pStyle w:val="Figuretitle"/>
        <w:rPr>
          <w:rFonts w:eastAsia="Malgun Gothic"/>
          <w:lang w:eastAsia="ko-KR"/>
        </w:rPr>
      </w:pPr>
    </w:p>
    <w:p w14:paraId="0A92BD62" w14:textId="6EF17F99" w:rsidR="000F5784" w:rsidRPr="00143185" w:rsidRDefault="000F5784" w:rsidP="005C670F">
      <w:pPr>
        <w:pStyle w:val="Figuretitle"/>
        <w:rPr>
          <w:rFonts w:eastAsia="Malgun Gothic"/>
          <w:lang w:eastAsia="ko-KR"/>
        </w:rPr>
      </w:pPr>
      <w:bookmarkStart w:id="72" w:name="_Toc19001688"/>
      <w:r w:rsidRPr="00143185">
        <w:rPr>
          <w:rFonts w:eastAsia="Malgun Gothic"/>
          <w:lang w:eastAsia="ko-KR"/>
        </w:rPr>
        <w:lastRenderedPageBreak/>
        <w:t xml:space="preserve">Figure </w:t>
      </w:r>
      <w:r w:rsidR="000E2026">
        <w:rPr>
          <w:rFonts w:eastAsia="Malgun Gothic"/>
          <w:lang w:eastAsia="ko-KR"/>
        </w:rPr>
        <w:t>2</w:t>
      </w:r>
      <w:r w:rsidR="0078372B">
        <w:rPr>
          <w:rFonts w:eastAsia="Malgun Gothic"/>
          <w:lang w:eastAsia="ko-KR"/>
        </w:rPr>
        <w:tab/>
      </w:r>
      <w:r w:rsidRPr="00143185">
        <w:rPr>
          <w:rFonts w:eastAsia="Malgun Gothic"/>
          <w:lang w:eastAsia="ko-KR"/>
        </w:rPr>
        <w:t xml:space="preserve">Estimated </w:t>
      </w:r>
      <w:r w:rsidR="00087A6B" w:rsidRPr="00143185">
        <w:rPr>
          <w:rFonts w:eastAsia="Malgun Gothic"/>
          <w:lang w:eastAsia="ko-KR"/>
        </w:rPr>
        <w:t>growth of gross weekly pay by education</w:t>
      </w:r>
      <w:bookmarkEnd w:id="72"/>
    </w:p>
    <w:p w14:paraId="3A781E23" w14:textId="77777777" w:rsidR="000F5784" w:rsidRPr="00143185" w:rsidRDefault="000F5784" w:rsidP="000F5784">
      <w:pPr>
        <w:spacing w:before="120" w:after="120" w:line="240" w:lineRule="auto"/>
        <w:rPr>
          <w:rFonts w:ascii="Times New Roman" w:eastAsia="Malgun Gothic" w:hAnsi="Times New Roman"/>
          <w:sz w:val="24"/>
          <w:szCs w:val="24"/>
          <w:lang w:eastAsia="ko-KR"/>
        </w:rPr>
      </w:pPr>
      <w:r w:rsidRPr="00143185">
        <w:rPr>
          <w:rFonts w:ascii="Times New Roman" w:eastAsia="Malgun Gothic" w:hAnsi="Times New Roman"/>
          <w:noProof/>
          <w:sz w:val="24"/>
          <w:szCs w:val="24"/>
          <w:lang w:eastAsia="ko-KR"/>
        </w:rPr>
        <w:drawing>
          <wp:anchor distT="0" distB="0" distL="114300" distR="114300" simplePos="0" relativeHeight="252000256" behindDoc="0" locked="0" layoutInCell="1" allowOverlap="1" wp14:anchorId="2FF2FD39" wp14:editId="5FFCFFCF">
            <wp:simplePos x="0" y="0"/>
            <wp:positionH relativeFrom="margin">
              <wp:align>left</wp:align>
            </wp:positionH>
            <wp:positionV relativeFrom="paragraph">
              <wp:posOffset>0</wp:posOffset>
            </wp:positionV>
            <wp:extent cx="4559300" cy="27330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9300" cy="27330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43185">
        <w:rPr>
          <w:rFonts w:ascii="Times New Roman" w:eastAsia="Malgun Gothic" w:hAnsi="Times New Roman"/>
          <w:noProof/>
          <w:sz w:val="24"/>
          <w:szCs w:val="24"/>
          <w:lang w:eastAsia="ko-KR"/>
        </w:rPr>
        <w:drawing>
          <wp:inline distT="0" distB="0" distL="0" distR="0" wp14:anchorId="68939098" wp14:editId="59993879">
            <wp:extent cx="4559630" cy="27336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8277" cy="2906730"/>
                    </a:xfrm>
                    <a:prstGeom prst="rect">
                      <a:avLst/>
                    </a:prstGeom>
                    <a:ln>
                      <a:noFill/>
                    </a:ln>
                    <a:effectLst>
                      <a:softEdge rad="112500"/>
                    </a:effectLst>
                  </pic:spPr>
                </pic:pic>
              </a:graphicData>
            </a:graphic>
          </wp:inline>
        </w:drawing>
      </w:r>
    </w:p>
    <w:p w14:paraId="2D28EDC5" w14:textId="6539CE56" w:rsidR="000F5784" w:rsidRDefault="000F5784" w:rsidP="006C6031">
      <w:pPr>
        <w:pStyle w:val="Text"/>
      </w:pPr>
      <w:r>
        <w:t>A university degree had large positive effects on occupational prestige for both men and women, even after controlling for ability, individual characteristics and family background (</w:t>
      </w:r>
      <w:r w:rsidR="00087A6B">
        <w:t>f</w:t>
      </w:r>
      <w:r>
        <w:t xml:space="preserve">igure </w:t>
      </w:r>
      <w:r w:rsidR="000E2026">
        <w:t>3</w:t>
      </w:r>
      <w:r>
        <w:t xml:space="preserve">). Male and female university graduates had significantly higher occupational prestige at age 22 </w:t>
      </w:r>
      <w:r w:rsidR="00087A6B">
        <w:t xml:space="preserve">years </w:t>
      </w:r>
      <w:r>
        <w:t>than non-graduates and experienced faster growth. As a result, by the age of 26</w:t>
      </w:r>
      <w:r w:rsidR="00087A6B">
        <w:t xml:space="preserve"> years</w:t>
      </w:r>
      <w:r>
        <w:t>, individuals with a university degree had average occupational prestige equivalent to nursing professionals or financial investment advisers (49.6</w:t>
      </w:r>
      <w:r w:rsidR="00616096">
        <w:t xml:space="preserve"> points</w:t>
      </w:r>
      <w:r>
        <w:t xml:space="preserve"> for men and 51.6 </w:t>
      </w:r>
      <w:r w:rsidR="00616096">
        <w:t xml:space="preserve">points </w:t>
      </w:r>
      <w:r>
        <w:t>for women)</w:t>
      </w:r>
      <w:r w:rsidR="00EB7BD3">
        <w:t>,</w:t>
      </w:r>
      <w:r>
        <w:t xml:space="preserve"> whereas individuals without Year 12 had average occupational prestige comparable </w:t>
      </w:r>
      <w:r w:rsidR="00EB7BD3">
        <w:t>with</w:t>
      </w:r>
      <w:r>
        <w:t xml:space="preserve"> communications tradespersons or travel agents (27.7 </w:t>
      </w:r>
      <w:r w:rsidR="00616096">
        <w:t xml:space="preserve">points </w:t>
      </w:r>
      <w:r>
        <w:t xml:space="preserve">for men and 31.9 </w:t>
      </w:r>
      <w:r w:rsidR="00616096">
        <w:t xml:space="preserve">points </w:t>
      </w:r>
      <w:r>
        <w:t xml:space="preserve">for women), all else </w:t>
      </w:r>
      <w:r w:rsidR="002548F6">
        <w:t xml:space="preserve">being </w:t>
      </w:r>
      <w:r>
        <w:t>equal.</w:t>
      </w:r>
    </w:p>
    <w:p w14:paraId="16367C3B" w14:textId="6F5EF376" w:rsidR="000F5784" w:rsidRPr="00C41B11" w:rsidRDefault="000F5784" w:rsidP="005C670F">
      <w:pPr>
        <w:pStyle w:val="Figuretitle"/>
      </w:pPr>
      <w:bookmarkStart w:id="73" w:name="_Toc19001689"/>
      <w:r w:rsidRPr="00C41B11">
        <w:rPr>
          <w:noProof/>
        </w:rPr>
        <w:lastRenderedPageBreak/>
        <w:drawing>
          <wp:anchor distT="0" distB="0" distL="114300" distR="114300" simplePos="0" relativeHeight="252001280" behindDoc="0" locked="0" layoutInCell="1" allowOverlap="1" wp14:anchorId="4270CBD0" wp14:editId="28979863">
            <wp:simplePos x="0" y="0"/>
            <wp:positionH relativeFrom="margin">
              <wp:align>left</wp:align>
            </wp:positionH>
            <wp:positionV relativeFrom="paragraph">
              <wp:posOffset>224155</wp:posOffset>
            </wp:positionV>
            <wp:extent cx="4446905" cy="26670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46905" cy="2667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41B11">
        <w:t xml:space="preserve">Figure </w:t>
      </w:r>
      <w:r w:rsidR="000E2026">
        <w:t>3</w:t>
      </w:r>
      <w:r w:rsidR="0078372B">
        <w:tab/>
      </w:r>
      <w:r w:rsidRPr="00C41B11">
        <w:t xml:space="preserve">Estimated </w:t>
      </w:r>
      <w:r w:rsidR="002548F6" w:rsidRPr="00C41B11">
        <w:t>growth of occupational prestige by education</w:t>
      </w:r>
      <w:bookmarkEnd w:id="73"/>
      <w:r w:rsidR="002548F6" w:rsidRPr="00C41B11">
        <w:t xml:space="preserve"> </w:t>
      </w:r>
      <w:r w:rsidRPr="00C41B11">
        <w:br/>
      </w:r>
    </w:p>
    <w:p w14:paraId="434898DC" w14:textId="77777777" w:rsidR="000F5784" w:rsidRDefault="000F5784" w:rsidP="000F5784">
      <w:pPr>
        <w:spacing w:before="120" w:after="120" w:line="240" w:lineRule="auto"/>
        <w:rPr>
          <w:rFonts w:ascii="Times New Roman" w:hAnsi="Times New Roman"/>
          <w:sz w:val="24"/>
          <w:szCs w:val="24"/>
        </w:rPr>
      </w:pPr>
      <w:r w:rsidRPr="00DF3B11">
        <w:rPr>
          <w:rFonts w:ascii="Times New Roman" w:hAnsi="Times New Roman"/>
          <w:noProof/>
          <w:sz w:val="24"/>
          <w:szCs w:val="24"/>
        </w:rPr>
        <w:drawing>
          <wp:inline distT="0" distB="0" distL="0" distR="0" wp14:anchorId="696E9627" wp14:editId="7196A8B5">
            <wp:extent cx="4446905" cy="2666578"/>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21385" cy="2711240"/>
                    </a:xfrm>
                    <a:prstGeom prst="rect">
                      <a:avLst/>
                    </a:prstGeom>
                    <a:ln>
                      <a:noFill/>
                    </a:ln>
                    <a:effectLst>
                      <a:softEdge rad="112500"/>
                    </a:effectLst>
                  </pic:spPr>
                </pic:pic>
              </a:graphicData>
            </a:graphic>
          </wp:inline>
        </w:drawing>
      </w:r>
    </w:p>
    <w:p w14:paraId="531CF6F4" w14:textId="42C9640D" w:rsidR="000F5784" w:rsidRDefault="000F5784" w:rsidP="006563EB">
      <w:pPr>
        <w:pStyle w:val="Text"/>
      </w:pPr>
      <w:r>
        <w:t>Income and occupational prestige among university graduates differed by the prestige of universities and fields of study, although the effects varied by outcome examined. Other things being equal, the prestige of universities did not have significant effects on income. However, the prestige of universities had a significant effect on the occupational prestige of male graduates even after controlling for fields of study and other covariates (</w:t>
      </w:r>
      <w:r w:rsidR="00C21ED0">
        <w:t>t</w:t>
      </w:r>
      <w:r>
        <w:t xml:space="preserve">able </w:t>
      </w:r>
      <w:r w:rsidR="000E2026">
        <w:t>4</w:t>
      </w:r>
      <w:r>
        <w:t xml:space="preserve">). Compared </w:t>
      </w:r>
      <w:r w:rsidR="00616096">
        <w:t>with</w:t>
      </w:r>
      <w:r>
        <w:t xml:space="preserve"> graduates of gumtree</w:t>
      </w:r>
      <w:r w:rsidR="00616096">
        <w:t xml:space="preserve"> </w:t>
      </w:r>
      <w:r w:rsidR="00330CF3">
        <w:t>(second-tier</w:t>
      </w:r>
      <w:r w:rsidR="004D0ABE">
        <w:t xml:space="preserve">) </w:t>
      </w:r>
      <w:r w:rsidR="00616096">
        <w:t>universities</w:t>
      </w:r>
      <w:r>
        <w:t>, graduates of sandstone</w:t>
      </w:r>
      <w:r w:rsidR="00616096">
        <w:t xml:space="preserve"> universities</w:t>
      </w:r>
      <w:r>
        <w:t xml:space="preserve"> (the most prestigious) had significantly higher occupational prestige</w:t>
      </w:r>
      <w:r w:rsidR="005E3394">
        <w:t>, while</w:t>
      </w:r>
      <w:r>
        <w:t xml:space="preserve"> graduates of other universities (the least prestigious universities) had significantly lower occupational prestige.</w:t>
      </w:r>
    </w:p>
    <w:p w14:paraId="193ACFFA" w14:textId="6BE4B5FC" w:rsidR="000F5784" w:rsidRDefault="000F5784" w:rsidP="006563EB">
      <w:pPr>
        <w:pStyle w:val="Text"/>
      </w:pPr>
      <w:r>
        <w:t>Fields of study significantly predicted both income and occupational prestige (</w:t>
      </w:r>
      <w:r w:rsidR="00616096">
        <w:t>t</w:t>
      </w:r>
      <w:r>
        <w:t xml:space="preserve">able </w:t>
      </w:r>
      <w:r w:rsidR="000E2026">
        <w:t>4</w:t>
      </w:r>
      <w:r>
        <w:t>). When other things were equal, young people who studied health-related disciplines generally enjoyed high income and occupational prestige</w:t>
      </w:r>
      <w:r w:rsidR="00616096">
        <w:t>,</w:t>
      </w:r>
      <w:r>
        <w:t xml:space="preserve"> whereas people who studied arts/humanities/social sciences had the lowest. Income differences between these extremes averaged 15.2% for men and 21.9% for women and differences on occupational prestige 9.31 points for men and 9.14 points for </w:t>
      </w:r>
      <w:r w:rsidR="00DA0512">
        <w:t>wo</w:t>
      </w:r>
      <w:r>
        <w:t>men. Patterns were similar for men and women.</w:t>
      </w:r>
    </w:p>
    <w:p w14:paraId="3C618BFB" w14:textId="77777777" w:rsidR="006563EB" w:rsidRDefault="006563EB" w:rsidP="000F5784"/>
    <w:p w14:paraId="00495B6D" w14:textId="6F0DAAB9" w:rsidR="000F5784" w:rsidRPr="00C41B11" w:rsidRDefault="000F5784" w:rsidP="00740088">
      <w:pPr>
        <w:pStyle w:val="tabletitle0"/>
        <w:rPr>
          <w:lang w:eastAsia="en-AU"/>
        </w:rPr>
      </w:pPr>
      <w:bookmarkStart w:id="74" w:name="_Toc19001661"/>
      <w:r w:rsidRPr="00C41B11">
        <w:rPr>
          <w:lang w:eastAsia="en-AU"/>
        </w:rPr>
        <w:lastRenderedPageBreak/>
        <w:t xml:space="preserve">Table </w:t>
      </w:r>
      <w:r w:rsidR="000E2026">
        <w:t>4</w:t>
      </w:r>
      <w:r w:rsidRPr="00C41B11">
        <w:rPr>
          <w:lang w:eastAsia="en-AU"/>
        </w:rPr>
        <w:tab/>
        <w:t xml:space="preserve">The </w:t>
      </w:r>
      <w:r w:rsidR="008478C0" w:rsidRPr="00C41B11">
        <w:rPr>
          <w:lang w:eastAsia="en-AU"/>
        </w:rPr>
        <w:t>effects of the prestige of universities and fields of study on log gross weekly pay and occupational prestige among young people</w:t>
      </w:r>
      <w:bookmarkEnd w:id="74"/>
    </w:p>
    <w:tbl>
      <w:tblPr>
        <w:tblW w:w="7829" w:type="dxa"/>
        <w:tblBorders>
          <w:top w:val="single" w:sz="4" w:space="0" w:color="auto"/>
          <w:bottom w:val="single" w:sz="4" w:space="0" w:color="auto"/>
        </w:tblBorders>
        <w:tblLook w:val="04A0" w:firstRow="1" w:lastRow="0" w:firstColumn="1" w:lastColumn="0" w:noHBand="0" w:noVBand="1"/>
      </w:tblPr>
      <w:tblGrid>
        <w:gridCol w:w="241"/>
        <w:gridCol w:w="207"/>
        <w:gridCol w:w="241"/>
        <w:gridCol w:w="2400"/>
        <w:gridCol w:w="953"/>
        <w:gridCol w:w="222"/>
        <w:gridCol w:w="953"/>
        <w:gridCol w:w="222"/>
        <w:gridCol w:w="1215"/>
        <w:gridCol w:w="222"/>
        <w:gridCol w:w="953"/>
      </w:tblGrid>
      <w:tr w:rsidR="005C3C9C" w:rsidRPr="00C41B11" w14:paraId="2AA9EBA8" w14:textId="77777777" w:rsidTr="005C3C9C">
        <w:trPr>
          <w:trHeight w:val="224"/>
        </w:trPr>
        <w:tc>
          <w:tcPr>
            <w:tcW w:w="241" w:type="dxa"/>
            <w:shd w:val="clear" w:color="auto" w:fill="auto"/>
            <w:noWrap/>
            <w:vAlign w:val="center"/>
          </w:tcPr>
          <w:p w14:paraId="19452184" w14:textId="77777777" w:rsidR="005C3C9C" w:rsidRPr="00C41B11" w:rsidRDefault="005C3C9C" w:rsidP="00DA0512">
            <w:pPr>
              <w:pStyle w:val="Tabletext"/>
            </w:pPr>
          </w:p>
        </w:tc>
        <w:tc>
          <w:tcPr>
            <w:tcW w:w="448" w:type="dxa"/>
            <w:gridSpan w:val="2"/>
          </w:tcPr>
          <w:p w14:paraId="655297BA" w14:textId="77777777" w:rsidR="005C3C9C" w:rsidRPr="00C41B11" w:rsidRDefault="005C3C9C" w:rsidP="005C3C9C">
            <w:pPr>
              <w:pStyle w:val="Tabletext"/>
              <w:ind w:left="-33"/>
            </w:pPr>
          </w:p>
        </w:tc>
        <w:tc>
          <w:tcPr>
            <w:tcW w:w="2400" w:type="dxa"/>
            <w:shd w:val="clear" w:color="auto" w:fill="auto"/>
            <w:vAlign w:val="center"/>
          </w:tcPr>
          <w:p w14:paraId="0C239249" w14:textId="7C0EF825" w:rsidR="005C3C9C" w:rsidRPr="00C41B11" w:rsidRDefault="005C3C9C" w:rsidP="00DA0512">
            <w:pPr>
              <w:pStyle w:val="Tabletext"/>
            </w:pPr>
          </w:p>
        </w:tc>
        <w:tc>
          <w:tcPr>
            <w:tcW w:w="2128" w:type="dxa"/>
            <w:gridSpan w:val="3"/>
            <w:tcBorders>
              <w:top w:val="single" w:sz="4" w:space="0" w:color="auto"/>
              <w:bottom w:val="single" w:sz="4" w:space="0" w:color="auto"/>
            </w:tcBorders>
            <w:shd w:val="clear" w:color="auto" w:fill="auto"/>
            <w:vAlign w:val="center"/>
          </w:tcPr>
          <w:p w14:paraId="4BAFA762" w14:textId="77777777" w:rsidR="005C3C9C" w:rsidRPr="00183D9F" w:rsidRDefault="005C3C9C" w:rsidP="002B3DE7">
            <w:pPr>
              <w:pStyle w:val="Tabletext"/>
              <w:rPr>
                <w:b/>
              </w:rPr>
            </w:pPr>
            <w:r w:rsidRPr="00183D9F">
              <w:rPr>
                <w:b/>
                <w:lang w:eastAsia="en-AU"/>
              </w:rPr>
              <w:t>Log gross weekly pay</w:t>
            </w:r>
          </w:p>
        </w:tc>
        <w:tc>
          <w:tcPr>
            <w:tcW w:w="222" w:type="dxa"/>
            <w:shd w:val="clear" w:color="auto" w:fill="auto"/>
            <w:vAlign w:val="center"/>
          </w:tcPr>
          <w:p w14:paraId="2CB534B9" w14:textId="77777777" w:rsidR="005C3C9C" w:rsidRPr="00183D9F" w:rsidRDefault="005C3C9C" w:rsidP="002B3DE7">
            <w:pPr>
              <w:pStyle w:val="Tabletext"/>
              <w:rPr>
                <w:b/>
              </w:rPr>
            </w:pPr>
          </w:p>
        </w:tc>
        <w:tc>
          <w:tcPr>
            <w:tcW w:w="2390" w:type="dxa"/>
            <w:gridSpan w:val="3"/>
            <w:tcBorders>
              <w:top w:val="single" w:sz="4" w:space="0" w:color="auto"/>
              <w:bottom w:val="single" w:sz="4" w:space="0" w:color="auto"/>
            </w:tcBorders>
            <w:shd w:val="clear" w:color="auto" w:fill="auto"/>
            <w:vAlign w:val="center"/>
          </w:tcPr>
          <w:p w14:paraId="3EB46C42" w14:textId="77777777" w:rsidR="005C3C9C" w:rsidRPr="00183D9F" w:rsidRDefault="005C3C9C" w:rsidP="002B3DE7">
            <w:pPr>
              <w:pStyle w:val="Tabletext"/>
              <w:rPr>
                <w:b/>
              </w:rPr>
            </w:pPr>
            <w:r w:rsidRPr="00183D9F">
              <w:rPr>
                <w:b/>
                <w:lang w:eastAsia="en-AU"/>
              </w:rPr>
              <w:t>Occupational prestige</w:t>
            </w:r>
          </w:p>
        </w:tc>
      </w:tr>
      <w:tr w:rsidR="005C3C9C" w:rsidRPr="00C41B11" w14:paraId="7EAB6E65" w14:textId="77777777" w:rsidTr="005C3C9C">
        <w:trPr>
          <w:trHeight w:val="224"/>
        </w:trPr>
        <w:tc>
          <w:tcPr>
            <w:tcW w:w="241" w:type="dxa"/>
            <w:tcBorders>
              <w:bottom w:val="single" w:sz="4" w:space="0" w:color="auto"/>
            </w:tcBorders>
            <w:shd w:val="clear" w:color="auto" w:fill="auto"/>
            <w:noWrap/>
            <w:vAlign w:val="center"/>
          </w:tcPr>
          <w:p w14:paraId="53C2510A" w14:textId="77777777" w:rsidR="005C3C9C" w:rsidRPr="00C41B11" w:rsidRDefault="005C3C9C" w:rsidP="00DA0512">
            <w:pPr>
              <w:pStyle w:val="Tabletext"/>
            </w:pPr>
          </w:p>
        </w:tc>
        <w:tc>
          <w:tcPr>
            <w:tcW w:w="448" w:type="dxa"/>
            <w:gridSpan w:val="2"/>
            <w:tcBorders>
              <w:bottom w:val="single" w:sz="4" w:space="0" w:color="auto"/>
            </w:tcBorders>
          </w:tcPr>
          <w:p w14:paraId="39E715CF" w14:textId="77777777" w:rsidR="005C3C9C" w:rsidRPr="00C41B11" w:rsidRDefault="005C3C9C" w:rsidP="005C3C9C">
            <w:pPr>
              <w:pStyle w:val="Tabletext"/>
              <w:ind w:left="-33"/>
            </w:pPr>
          </w:p>
        </w:tc>
        <w:tc>
          <w:tcPr>
            <w:tcW w:w="2400" w:type="dxa"/>
            <w:tcBorders>
              <w:bottom w:val="single" w:sz="4" w:space="0" w:color="auto"/>
            </w:tcBorders>
            <w:shd w:val="clear" w:color="auto" w:fill="auto"/>
            <w:vAlign w:val="center"/>
          </w:tcPr>
          <w:p w14:paraId="60ABD1A2" w14:textId="2C93B72D" w:rsidR="005C3C9C" w:rsidRPr="00C41B11" w:rsidRDefault="005C3C9C" w:rsidP="00DA0512">
            <w:pPr>
              <w:pStyle w:val="Tabletext"/>
            </w:pPr>
          </w:p>
        </w:tc>
        <w:tc>
          <w:tcPr>
            <w:tcW w:w="953" w:type="dxa"/>
            <w:tcBorders>
              <w:top w:val="single" w:sz="4" w:space="0" w:color="auto"/>
              <w:bottom w:val="single" w:sz="4" w:space="0" w:color="auto"/>
            </w:tcBorders>
            <w:shd w:val="clear" w:color="auto" w:fill="auto"/>
            <w:vAlign w:val="center"/>
          </w:tcPr>
          <w:p w14:paraId="3A962E5C" w14:textId="77777777" w:rsidR="005C3C9C" w:rsidRPr="00C41B11" w:rsidRDefault="005C3C9C" w:rsidP="002B3DE7">
            <w:pPr>
              <w:pStyle w:val="Tabletext"/>
            </w:pPr>
            <w:r w:rsidRPr="00C41B11">
              <w:t>Men</w:t>
            </w:r>
          </w:p>
        </w:tc>
        <w:tc>
          <w:tcPr>
            <w:tcW w:w="222" w:type="dxa"/>
            <w:tcBorders>
              <w:top w:val="single" w:sz="4" w:space="0" w:color="auto"/>
              <w:bottom w:val="single" w:sz="4" w:space="0" w:color="auto"/>
            </w:tcBorders>
            <w:shd w:val="clear" w:color="auto" w:fill="auto"/>
            <w:vAlign w:val="center"/>
          </w:tcPr>
          <w:p w14:paraId="2E7D5897" w14:textId="77777777" w:rsidR="005C3C9C" w:rsidRPr="00C41B11" w:rsidRDefault="005C3C9C" w:rsidP="002B3DE7">
            <w:pPr>
              <w:pStyle w:val="Tabletext"/>
            </w:pPr>
          </w:p>
        </w:tc>
        <w:tc>
          <w:tcPr>
            <w:tcW w:w="953" w:type="dxa"/>
            <w:tcBorders>
              <w:top w:val="single" w:sz="4" w:space="0" w:color="auto"/>
              <w:bottom w:val="single" w:sz="4" w:space="0" w:color="auto"/>
            </w:tcBorders>
            <w:shd w:val="clear" w:color="auto" w:fill="auto"/>
            <w:vAlign w:val="center"/>
          </w:tcPr>
          <w:p w14:paraId="19BC522E" w14:textId="77777777" w:rsidR="005C3C9C" w:rsidRPr="00C41B11" w:rsidRDefault="005C3C9C" w:rsidP="002B3DE7">
            <w:pPr>
              <w:pStyle w:val="Tabletext"/>
            </w:pPr>
            <w:r w:rsidRPr="00C41B11">
              <w:t>Women</w:t>
            </w:r>
          </w:p>
        </w:tc>
        <w:tc>
          <w:tcPr>
            <w:tcW w:w="222" w:type="dxa"/>
            <w:tcBorders>
              <w:bottom w:val="single" w:sz="4" w:space="0" w:color="auto"/>
            </w:tcBorders>
            <w:shd w:val="clear" w:color="auto" w:fill="auto"/>
            <w:vAlign w:val="center"/>
          </w:tcPr>
          <w:p w14:paraId="68A96076" w14:textId="77777777" w:rsidR="005C3C9C" w:rsidRPr="00C41B11" w:rsidRDefault="005C3C9C" w:rsidP="002B3DE7">
            <w:pPr>
              <w:pStyle w:val="Tabletext"/>
            </w:pPr>
          </w:p>
        </w:tc>
        <w:tc>
          <w:tcPr>
            <w:tcW w:w="1215" w:type="dxa"/>
            <w:tcBorders>
              <w:top w:val="single" w:sz="4" w:space="0" w:color="auto"/>
              <w:bottom w:val="single" w:sz="4" w:space="0" w:color="auto"/>
            </w:tcBorders>
            <w:shd w:val="clear" w:color="auto" w:fill="auto"/>
            <w:vAlign w:val="center"/>
          </w:tcPr>
          <w:p w14:paraId="44E68015" w14:textId="77777777" w:rsidR="005C3C9C" w:rsidRPr="00C41B11" w:rsidRDefault="005C3C9C" w:rsidP="002B3DE7">
            <w:pPr>
              <w:pStyle w:val="Tabletext"/>
            </w:pPr>
            <w:r w:rsidRPr="00C41B11">
              <w:t>Men</w:t>
            </w:r>
          </w:p>
        </w:tc>
        <w:tc>
          <w:tcPr>
            <w:tcW w:w="222" w:type="dxa"/>
            <w:tcBorders>
              <w:top w:val="single" w:sz="4" w:space="0" w:color="auto"/>
              <w:bottom w:val="single" w:sz="4" w:space="0" w:color="auto"/>
            </w:tcBorders>
            <w:shd w:val="clear" w:color="auto" w:fill="auto"/>
            <w:vAlign w:val="center"/>
          </w:tcPr>
          <w:p w14:paraId="59CC9113" w14:textId="77777777" w:rsidR="005C3C9C" w:rsidRPr="00C41B11" w:rsidRDefault="005C3C9C" w:rsidP="002B3DE7">
            <w:pPr>
              <w:pStyle w:val="Tabletext"/>
            </w:pPr>
          </w:p>
        </w:tc>
        <w:tc>
          <w:tcPr>
            <w:tcW w:w="953" w:type="dxa"/>
            <w:tcBorders>
              <w:top w:val="single" w:sz="4" w:space="0" w:color="auto"/>
              <w:bottom w:val="single" w:sz="4" w:space="0" w:color="auto"/>
            </w:tcBorders>
            <w:shd w:val="clear" w:color="auto" w:fill="auto"/>
            <w:vAlign w:val="center"/>
          </w:tcPr>
          <w:p w14:paraId="17E671E0" w14:textId="77777777" w:rsidR="005C3C9C" w:rsidRPr="00C41B11" w:rsidRDefault="005C3C9C" w:rsidP="002B3DE7">
            <w:pPr>
              <w:pStyle w:val="Tabletext"/>
            </w:pPr>
            <w:r w:rsidRPr="00C41B11">
              <w:t>Women</w:t>
            </w:r>
          </w:p>
        </w:tc>
      </w:tr>
      <w:tr w:rsidR="005C3C9C" w:rsidRPr="00C41B11" w14:paraId="5B6BBA40" w14:textId="77777777" w:rsidTr="005C3C9C">
        <w:trPr>
          <w:trHeight w:val="224"/>
        </w:trPr>
        <w:tc>
          <w:tcPr>
            <w:tcW w:w="448" w:type="dxa"/>
            <w:gridSpan w:val="2"/>
            <w:tcBorders>
              <w:top w:val="single" w:sz="4" w:space="0" w:color="auto"/>
              <w:bottom w:val="nil"/>
            </w:tcBorders>
          </w:tcPr>
          <w:p w14:paraId="39DD87BC" w14:textId="77777777" w:rsidR="005C3C9C" w:rsidRPr="00C41B11" w:rsidRDefault="005C3C9C" w:rsidP="005C3C9C">
            <w:pPr>
              <w:pStyle w:val="Tabletext"/>
              <w:ind w:left="-33"/>
            </w:pPr>
          </w:p>
        </w:tc>
        <w:tc>
          <w:tcPr>
            <w:tcW w:w="2641" w:type="dxa"/>
            <w:gridSpan w:val="2"/>
            <w:tcBorders>
              <w:top w:val="single" w:sz="4" w:space="0" w:color="auto"/>
              <w:bottom w:val="nil"/>
            </w:tcBorders>
            <w:shd w:val="clear" w:color="auto" w:fill="auto"/>
            <w:noWrap/>
            <w:vAlign w:val="center"/>
            <w:hideMark/>
          </w:tcPr>
          <w:p w14:paraId="11B71899" w14:textId="713C8595" w:rsidR="005C3C9C" w:rsidRPr="00C41B11" w:rsidRDefault="005C3C9C" w:rsidP="005C3C9C">
            <w:pPr>
              <w:pStyle w:val="Tabletext"/>
              <w:ind w:left="-33"/>
            </w:pPr>
            <w:r w:rsidRPr="00C41B11">
              <w:t>University prestige (gumtrees)</w:t>
            </w:r>
          </w:p>
        </w:tc>
        <w:tc>
          <w:tcPr>
            <w:tcW w:w="953" w:type="dxa"/>
            <w:tcBorders>
              <w:top w:val="single" w:sz="4" w:space="0" w:color="auto"/>
              <w:bottom w:val="nil"/>
            </w:tcBorders>
            <w:shd w:val="clear" w:color="auto" w:fill="auto"/>
            <w:vAlign w:val="center"/>
          </w:tcPr>
          <w:p w14:paraId="38375B75" w14:textId="77777777" w:rsidR="005C3C9C" w:rsidRPr="00C41B11" w:rsidRDefault="005C3C9C" w:rsidP="002B3DE7">
            <w:pPr>
              <w:pStyle w:val="Tabletext"/>
              <w:ind w:right="170"/>
            </w:pPr>
          </w:p>
        </w:tc>
        <w:tc>
          <w:tcPr>
            <w:tcW w:w="222" w:type="dxa"/>
            <w:tcBorders>
              <w:top w:val="single" w:sz="4" w:space="0" w:color="auto"/>
              <w:bottom w:val="nil"/>
            </w:tcBorders>
            <w:shd w:val="clear" w:color="auto" w:fill="auto"/>
            <w:vAlign w:val="center"/>
          </w:tcPr>
          <w:p w14:paraId="3EBC61FC" w14:textId="77777777" w:rsidR="005C3C9C" w:rsidRPr="00C41B11" w:rsidRDefault="005C3C9C" w:rsidP="002B3DE7">
            <w:pPr>
              <w:pStyle w:val="Tabletext"/>
              <w:ind w:right="170"/>
            </w:pPr>
          </w:p>
        </w:tc>
        <w:tc>
          <w:tcPr>
            <w:tcW w:w="953" w:type="dxa"/>
            <w:tcBorders>
              <w:top w:val="single" w:sz="4" w:space="0" w:color="auto"/>
              <w:bottom w:val="nil"/>
            </w:tcBorders>
            <w:shd w:val="clear" w:color="auto" w:fill="auto"/>
            <w:vAlign w:val="center"/>
            <w:hideMark/>
          </w:tcPr>
          <w:p w14:paraId="5C07C927" w14:textId="77777777" w:rsidR="005C3C9C" w:rsidRPr="00C41B11" w:rsidRDefault="005C3C9C" w:rsidP="002B3DE7">
            <w:pPr>
              <w:pStyle w:val="Tabletext"/>
              <w:ind w:right="170"/>
            </w:pPr>
          </w:p>
        </w:tc>
        <w:tc>
          <w:tcPr>
            <w:tcW w:w="222" w:type="dxa"/>
            <w:tcBorders>
              <w:top w:val="single" w:sz="4" w:space="0" w:color="auto"/>
              <w:bottom w:val="nil"/>
            </w:tcBorders>
            <w:shd w:val="clear" w:color="auto" w:fill="auto"/>
            <w:vAlign w:val="center"/>
          </w:tcPr>
          <w:p w14:paraId="31BCB762" w14:textId="77777777" w:rsidR="005C3C9C" w:rsidRPr="00C41B11" w:rsidRDefault="005C3C9C" w:rsidP="002B3DE7">
            <w:pPr>
              <w:pStyle w:val="Tabletext"/>
              <w:ind w:right="170"/>
            </w:pPr>
          </w:p>
        </w:tc>
        <w:tc>
          <w:tcPr>
            <w:tcW w:w="1215" w:type="dxa"/>
            <w:tcBorders>
              <w:top w:val="single" w:sz="4" w:space="0" w:color="auto"/>
              <w:bottom w:val="nil"/>
            </w:tcBorders>
            <w:shd w:val="clear" w:color="auto" w:fill="auto"/>
            <w:noWrap/>
            <w:vAlign w:val="center"/>
            <w:hideMark/>
          </w:tcPr>
          <w:p w14:paraId="2FD3F8C1" w14:textId="77777777" w:rsidR="005C3C9C" w:rsidRPr="00C41B11" w:rsidRDefault="005C3C9C" w:rsidP="002B3DE7">
            <w:pPr>
              <w:pStyle w:val="Tabletext"/>
              <w:ind w:right="170"/>
            </w:pPr>
          </w:p>
        </w:tc>
        <w:tc>
          <w:tcPr>
            <w:tcW w:w="222" w:type="dxa"/>
            <w:tcBorders>
              <w:top w:val="single" w:sz="4" w:space="0" w:color="auto"/>
              <w:bottom w:val="nil"/>
            </w:tcBorders>
            <w:shd w:val="clear" w:color="auto" w:fill="auto"/>
            <w:vAlign w:val="center"/>
          </w:tcPr>
          <w:p w14:paraId="71FAC8E5" w14:textId="77777777" w:rsidR="005C3C9C" w:rsidRPr="00C41B11" w:rsidRDefault="005C3C9C" w:rsidP="002B3DE7">
            <w:pPr>
              <w:pStyle w:val="Tabletext"/>
              <w:ind w:right="170"/>
            </w:pPr>
          </w:p>
        </w:tc>
        <w:tc>
          <w:tcPr>
            <w:tcW w:w="953" w:type="dxa"/>
            <w:tcBorders>
              <w:top w:val="single" w:sz="4" w:space="0" w:color="auto"/>
              <w:bottom w:val="nil"/>
            </w:tcBorders>
            <w:shd w:val="clear" w:color="auto" w:fill="auto"/>
            <w:noWrap/>
            <w:vAlign w:val="center"/>
            <w:hideMark/>
          </w:tcPr>
          <w:p w14:paraId="3CF9EFA7" w14:textId="77777777" w:rsidR="005C3C9C" w:rsidRPr="00C41B11" w:rsidRDefault="005C3C9C" w:rsidP="002B3DE7">
            <w:pPr>
              <w:pStyle w:val="Tabletext"/>
              <w:ind w:right="170"/>
            </w:pPr>
          </w:p>
        </w:tc>
      </w:tr>
      <w:tr w:rsidR="005C3C9C" w:rsidRPr="00C41B11" w14:paraId="2ADD9E5C" w14:textId="77777777" w:rsidTr="005C3C9C">
        <w:trPr>
          <w:trHeight w:val="224"/>
        </w:trPr>
        <w:tc>
          <w:tcPr>
            <w:tcW w:w="241" w:type="dxa"/>
            <w:tcBorders>
              <w:top w:val="nil"/>
            </w:tcBorders>
            <w:shd w:val="clear" w:color="auto" w:fill="auto"/>
            <w:noWrap/>
            <w:vAlign w:val="center"/>
          </w:tcPr>
          <w:p w14:paraId="4ED50842" w14:textId="77777777" w:rsidR="005C3C9C" w:rsidRPr="00C41B11" w:rsidRDefault="005C3C9C" w:rsidP="00DA0512">
            <w:pPr>
              <w:pStyle w:val="Tabletext"/>
            </w:pPr>
          </w:p>
        </w:tc>
        <w:tc>
          <w:tcPr>
            <w:tcW w:w="448" w:type="dxa"/>
            <w:gridSpan w:val="2"/>
            <w:tcBorders>
              <w:top w:val="nil"/>
            </w:tcBorders>
          </w:tcPr>
          <w:p w14:paraId="44B0BACD" w14:textId="77777777" w:rsidR="005C3C9C" w:rsidRPr="00C41B11" w:rsidRDefault="005C3C9C" w:rsidP="005C3C9C">
            <w:pPr>
              <w:pStyle w:val="Tabletext"/>
              <w:ind w:left="-33"/>
            </w:pPr>
          </w:p>
        </w:tc>
        <w:tc>
          <w:tcPr>
            <w:tcW w:w="2400" w:type="dxa"/>
            <w:tcBorders>
              <w:top w:val="nil"/>
            </w:tcBorders>
            <w:shd w:val="clear" w:color="auto" w:fill="auto"/>
            <w:noWrap/>
            <w:vAlign w:val="center"/>
          </w:tcPr>
          <w:p w14:paraId="5DAAB21A" w14:textId="02AD12A3" w:rsidR="005C3C9C" w:rsidRPr="00C41B11" w:rsidRDefault="005C3C9C" w:rsidP="00DA0512">
            <w:pPr>
              <w:pStyle w:val="Tabletext"/>
            </w:pPr>
            <w:r w:rsidRPr="00C41B11">
              <w:t>Sandstones</w:t>
            </w:r>
          </w:p>
        </w:tc>
        <w:tc>
          <w:tcPr>
            <w:tcW w:w="953" w:type="dxa"/>
            <w:tcBorders>
              <w:top w:val="nil"/>
            </w:tcBorders>
            <w:shd w:val="clear" w:color="auto" w:fill="auto"/>
            <w:vAlign w:val="center"/>
          </w:tcPr>
          <w:p w14:paraId="787F7F63" w14:textId="77777777" w:rsidR="005C3C9C" w:rsidRPr="00C41B11" w:rsidRDefault="005C3C9C" w:rsidP="002B3DE7">
            <w:pPr>
              <w:pStyle w:val="Tabletext"/>
              <w:ind w:right="170"/>
            </w:pPr>
            <w:r w:rsidRPr="00C41B11">
              <w:t>0.015</w:t>
            </w:r>
          </w:p>
        </w:tc>
        <w:tc>
          <w:tcPr>
            <w:tcW w:w="222" w:type="dxa"/>
            <w:tcBorders>
              <w:top w:val="nil"/>
            </w:tcBorders>
            <w:shd w:val="clear" w:color="auto" w:fill="auto"/>
            <w:vAlign w:val="center"/>
          </w:tcPr>
          <w:p w14:paraId="4E46E10A" w14:textId="77777777" w:rsidR="005C3C9C" w:rsidRPr="00C41B11" w:rsidRDefault="005C3C9C" w:rsidP="002B3DE7">
            <w:pPr>
              <w:pStyle w:val="Tabletext"/>
              <w:ind w:right="170"/>
            </w:pPr>
          </w:p>
        </w:tc>
        <w:tc>
          <w:tcPr>
            <w:tcW w:w="953" w:type="dxa"/>
            <w:tcBorders>
              <w:top w:val="nil"/>
            </w:tcBorders>
            <w:shd w:val="clear" w:color="auto" w:fill="auto"/>
            <w:vAlign w:val="center"/>
          </w:tcPr>
          <w:p w14:paraId="10342204" w14:textId="77777777" w:rsidR="005C3C9C" w:rsidRPr="00C41B11" w:rsidRDefault="005C3C9C" w:rsidP="002B3DE7">
            <w:pPr>
              <w:pStyle w:val="Tabletext"/>
              <w:ind w:right="170"/>
            </w:pPr>
            <w:r w:rsidRPr="00C41B11">
              <w:t>-0.013</w:t>
            </w:r>
          </w:p>
        </w:tc>
        <w:tc>
          <w:tcPr>
            <w:tcW w:w="222" w:type="dxa"/>
            <w:tcBorders>
              <w:top w:val="nil"/>
            </w:tcBorders>
            <w:shd w:val="clear" w:color="auto" w:fill="auto"/>
            <w:vAlign w:val="center"/>
          </w:tcPr>
          <w:p w14:paraId="3B099DB7" w14:textId="77777777" w:rsidR="005C3C9C" w:rsidRPr="00C41B11" w:rsidRDefault="005C3C9C" w:rsidP="002B3DE7">
            <w:pPr>
              <w:pStyle w:val="Tabletext"/>
              <w:ind w:right="170"/>
            </w:pPr>
          </w:p>
        </w:tc>
        <w:tc>
          <w:tcPr>
            <w:tcW w:w="1215" w:type="dxa"/>
            <w:tcBorders>
              <w:top w:val="nil"/>
            </w:tcBorders>
            <w:shd w:val="clear" w:color="auto" w:fill="auto"/>
            <w:noWrap/>
            <w:vAlign w:val="center"/>
          </w:tcPr>
          <w:p w14:paraId="7AF43A09" w14:textId="77777777" w:rsidR="005C3C9C" w:rsidRPr="00C41B11" w:rsidRDefault="005C3C9C" w:rsidP="002B3DE7">
            <w:pPr>
              <w:pStyle w:val="Tabletext"/>
              <w:ind w:right="170"/>
            </w:pPr>
            <w:r w:rsidRPr="00C41B11">
              <w:t>1.81</w:t>
            </w:r>
            <w:r w:rsidRPr="00C41B11">
              <w:rPr>
                <w:vertAlign w:val="superscript"/>
              </w:rPr>
              <w:t>*</w:t>
            </w:r>
          </w:p>
        </w:tc>
        <w:tc>
          <w:tcPr>
            <w:tcW w:w="222" w:type="dxa"/>
            <w:tcBorders>
              <w:top w:val="nil"/>
            </w:tcBorders>
            <w:shd w:val="clear" w:color="auto" w:fill="auto"/>
            <w:vAlign w:val="center"/>
          </w:tcPr>
          <w:p w14:paraId="06637331" w14:textId="77777777" w:rsidR="005C3C9C" w:rsidRPr="00C41B11" w:rsidRDefault="005C3C9C" w:rsidP="002B3DE7">
            <w:pPr>
              <w:pStyle w:val="Tabletext"/>
              <w:ind w:right="170"/>
            </w:pPr>
          </w:p>
        </w:tc>
        <w:tc>
          <w:tcPr>
            <w:tcW w:w="953" w:type="dxa"/>
            <w:tcBorders>
              <w:top w:val="nil"/>
            </w:tcBorders>
            <w:shd w:val="clear" w:color="auto" w:fill="auto"/>
            <w:vAlign w:val="center"/>
          </w:tcPr>
          <w:p w14:paraId="3046E576" w14:textId="77777777" w:rsidR="005C3C9C" w:rsidRPr="00C41B11" w:rsidRDefault="005C3C9C" w:rsidP="002B3DE7">
            <w:pPr>
              <w:pStyle w:val="Tabletext"/>
              <w:ind w:right="170"/>
            </w:pPr>
            <w:r w:rsidRPr="00C41B11">
              <w:t>1.94</w:t>
            </w:r>
          </w:p>
        </w:tc>
      </w:tr>
      <w:tr w:rsidR="005C3C9C" w:rsidRPr="00C41B11" w14:paraId="31BE3534" w14:textId="77777777" w:rsidTr="005C3C9C">
        <w:trPr>
          <w:trHeight w:val="224"/>
        </w:trPr>
        <w:tc>
          <w:tcPr>
            <w:tcW w:w="241" w:type="dxa"/>
            <w:shd w:val="clear" w:color="auto" w:fill="auto"/>
            <w:noWrap/>
            <w:vAlign w:val="center"/>
          </w:tcPr>
          <w:p w14:paraId="1310F5A2" w14:textId="77777777" w:rsidR="005C3C9C" w:rsidRPr="00C41B11" w:rsidRDefault="005C3C9C" w:rsidP="00DA0512">
            <w:pPr>
              <w:pStyle w:val="Tabletext"/>
            </w:pPr>
          </w:p>
        </w:tc>
        <w:tc>
          <w:tcPr>
            <w:tcW w:w="448" w:type="dxa"/>
            <w:gridSpan w:val="2"/>
          </w:tcPr>
          <w:p w14:paraId="1EC14458" w14:textId="77777777" w:rsidR="005C3C9C" w:rsidRPr="00C41B11" w:rsidRDefault="005C3C9C" w:rsidP="005C3C9C">
            <w:pPr>
              <w:pStyle w:val="Tabletext"/>
              <w:ind w:left="-33"/>
            </w:pPr>
          </w:p>
        </w:tc>
        <w:tc>
          <w:tcPr>
            <w:tcW w:w="2400" w:type="dxa"/>
            <w:shd w:val="clear" w:color="auto" w:fill="auto"/>
            <w:noWrap/>
            <w:vAlign w:val="center"/>
          </w:tcPr>
          <w:p w14:paraId="0CAC02E6" w14:textId="4AFB1E2B" w:rsidR="005C3C9C" w:rsidRPr="00C41B11" w:rsidRDefault="005C3C9C" w:rsidP="00DA0512">
            <w:pPr>
              <w:pStyle w:val="Tabletext"/>
            </w:pPr>
            <w:proofErr w:type="spellStart"/>
            <w:r w:rsidRPr="00C41B11">
              <w:t>Unitechs</w:t>
            </w:r>
            <w:proofErr w:type="spellEnd"/>
          </w:p>
        </w:tc>
        <w:tc>
          <w:tcPr>
            <w:tcW w:w="953" w:type="dxa"/>
            <w:shd w:val="clear" w:color="auto" w:fill="auto"/>
            <w:vAlign w:val="center"/>
          </w:tcPr>
          <w:p w14:paraId="3DF7EA20" w14:textId="77777777" w:rsidR="005C3C9C" w:rsidRPr="00C41B11" w:rsidRDefault="005C3C9C" w:rsidP="002B3DE7">
            <w:pPr>
              <w:pStyle w:val="Tabletext"/>
              <w:ind w:right="170"/>
            </w:pPr>
            <w:r w:rsidRPr="00C41B11">
              <w:t>0.053</w:t>
            </w:r>
          </w:p>
        </w:tc>
        <w:tc>
          <w:tcPr>
            <w:tcW w:w="222" w:type="dxa"/>
            <w:shd w:val="clear" w:color="auto" w:fill="auto"/>
            <w:vAlign w:val="center"/>
          </w:tcPr>
          <w:p w14:paraId="6ADDACC8" w14:textId="77777777" w:rsidR="005C3C9C" w:rsidRPr="00C41B11" w:rsidRDefault="005C3C9C" w:rsidP="002B3DE7">
            <w:pPr>
              <w:pStyle w:val="Tabletext"/>
              <w:ind w:right="170"/>
            </w:pPr>
          </w:p>
        </w:tc>
        <w:tc>
          <w:tcPr>
            <w:tcW w:w="953" w:type="dxa"/>
            <w:shd w:val="clear" w:color="auto" w:fill="auto"/>
            <w:vAlign w:val="center"/>
          </w:tcPr>
          <w:p w14:paraId="553A68B8" w14:textId="77777777" w:rsidR="005C3C9C" w:rsidRPr="00C41B11" w:rsidRDefault="005C3C9C" w:rsidP="002B3DE7">
            <w:pPr>
              <w:pStyle w:val="Tabletext"/>
              <w:ind w:right="170"/>
            </w:pPr>
            <w:r w:rsidRPr="00C41B11">
              <w:t>-0.009</w:t>
            </w:r>
          </w:p>
        </w:tc>
        <w:tc>
          <w:tcPr>
            <w:tcW w:w="222" w:type="dxa"/>
            <w:shd w:val="clear" w:color="auto" w:fill="auto"/>
            <w:vAlign w:val="center"/>
          </w:tcPr>
          <w:p w14:paraId="3CD0429F" w14:textId="77777777" w:rsidR="005C3C9C" w:rsidRPr="00C41B11" w:rsidRDefault="005C3C9C" w:rsidP="002B3DE7">
            <w:pPr>
              <w:pStyle w:val="Tabletext"/>
              <w:ind w:right="170"/>
            </w:pPr>
          </w:p>
        </w:tc>
        <w:tc>
          <w:tcPr>
            <w:tcW w:w="1215" w:type="dxa"/>
            <w:shd w:val="clear" w:color="auto" w:fill="auto"/>
            <w:noWrap/>
            <w:vAlign w:val="center"/>
          </w:tcPr>
          <w:p w14:paraId="1C989732" w14:textId="77777777" w:rsidR="005C3C9C" w:rsidRPr="00C41B11" w:rsidRDefault="005C3C9C" w:rsidP="002B3DE7">
            <w:pPr>
              <w:pStyle w:val="Tabletext"/>
              <w:ind w:right="170"/>
            </w:pPr>
            <w:r w:rsidRPr="00C41B11">
              <w:t>0.86</w:t>
            </w:r>
          </w:p>
        </w:tc>
        <w:tc>
          <w:tcPr>
            <w:tcW w:w="222" w:type="dxa"/>
            <w:shd w:val="clear" w:color="auto" w:fill="auto"/>
            <w:vAlign w:val="center"/>
          </w:tcPr>
          <w:p w14:paraId="24ED0CF1" w14:textId="77777777" w:rsidR="005C3C9C" w:rsidRPr="00C41B11" w:rsidRDefault="005C3C9C" w:rsidP="002B3DE7">
            <w:pPr>
              <w:pStyle w:val="Tabletext"/>
              <w:ind w:right="170"/>
            </w:pPr>
          </w:p>
        </w:tc>
        <w:tc>
          <w:tcPr>
            <w:tcW w:w="953" w:type="dxa"/>
            <w:shd w:val="clear" w:color="auto" w:fill="auto"/>
            <w:vAlign w:val="center"/>
          </w:tcPr>
          <w:p w14:paraId="351640BC" w14:textId="77777777" w:rsidR="005C3C9C" w:rsidRPr="00C41B11" w:rsidRDefault="005C3C9C" w:rsidP="002B3DE7">
            <w:pPr>
              <w:pStyle w:val="Tabletext"/>
              <w:ind w:right="170"/>
            </w:pPr>
            <w:r w:rsidRPr="00C41B11">
              <w:t>1.06</w:t>
            </w:r>
          </w:p>
        </w:tc>
      </w:tr>
      <w:tr w:rsidR="005C3C9C" w:rsidRPr="00C41B11" w14:paraId="3720B774" w14:textId="77777777" w:rsidTr="005C3C9C">
        <w:trPr>
          <w:trHeight w:val="224"/>
        </w:trPr>
        <w:tc>
          <w:tcPr>
            <w:tcW w:w="241" w:type="dxa"/>
            <w:shd w:val="clear" w:color="auto" w:fill="auto"/>
            <w:noWrap/>
            <w:vAlign w:val="center"/>
          </w:tcPr>
          <w:p w14:paraId="690BDB9D" w14:textId="77777777" w:rsidR="005C3C9C" w:rsidRPr="00C41B11" w:rsidRDefault="005C3C9C" w:rsidP="00DA0512">
            <w:pPr>
              <w:pStyle w:val="Tabletext"/>
            </w:pPr>
          </w:p>
        </w:tc>
        <w:tc>
          <w:tcPr>
            <w:tcW w:w="448" w:type="dxa"/>
            <w:gridSpan w:val="2"/>
          </w:tcPr>
          <w:p w14:paraId="5F62BCF8" w14:textId="77777777" w:rsidR="005C3C9C" w:rsidRPr="00C41B11" w:rsidRDefault="005C3C9C" w:rsidP="005C3C9C">
            <w:pPr>
              <w:pStyle w:val="Tabletext"/>
              <w:ind w:left="-33"/>
            </w:pPr>
          </w:p>
        </w:tc>
        <w:tc>
          <w:tcPr>
            <w:tcW w:w="2400" w:type="dxa"/>
            <w:shd w:val="clear" w:color="auto" w:fill="auto"/>
            <w:noWrap/>
            <w:vAlign w:val="center"/>
          </w:tcPr>
          <w:p w14:paraId="06F4FA11" w14:textId="7767ACF2" w:rsidR="005C3C9C" w:rsidRPr="00C41B11" w:rsidRDefault="005C3C9C" w:rsidP="00DA0512">
            <w:pPr>
              <w:pStyle w:val="Tabletext"/>
            </w:pPr>
            <w:r w:rsidRPr="00C41B11">
              <w:t>Other</w:t>
            </w:r>
          </w:p>
        </w:tc>
        <w:tc>
          <w:tcPr>
            <w:tcW w:w="953" w:type="dxa"/>
            <w:shd w:val="clear" w:color="auto" w:fill="auto"/>
            <w:vAlign w:val="center"/>
          </w:tcPr>
          <w:p w14:paraId="7F2A2474" w14:textId="77777777" w:rsidR="005C3C9C" w:rsidRPr="00C41B11" w:rsidRDefault="005C3C9C" w:rsidP="002B3DE7">
            <w:pPr>
              <w:pStyle w:val="Tabletext"/>
              <w:ind w:right="170"/>
            </w:pPr>
            <w:r w:rsidRPr="00C41B11">
              <w:t>0.020</w:t>
            </w:r>
          </w:p>
        </w:tc>
        <w:tc>
          <w:tcPr>
            <w:tcW w:w="222" w:type="dxa"/>
            <w:shd w:val="clear" w:color="auto" w:fill="auto"/>
            <w:vAlign w:val="center"/>
          </w:tcPr>
          <w:p w14:paraId="0EC584E2" w14:textId="77777777" w:rsidR="005C3C9C" w:rsidRPr="00C41B11" w:rsidRDefault="005C3C9C" w:rsidP="002B3DE7">
            <w:pPr>
              <w:pStyle w:val="Tabletext"/>
              <w:ind w:right="170"/>
            </w:pPr>
          </w:p>
        </w:tc>
        <w:tc>
          <w:tcPr>
            <w:tcW w:w="953" w:type="dxa"/>
            <w:shd w:val="clear" w:color="auto" w:fill="auto"/>
            <w:vAlign w:val="center"/>
          </w:tcPr>
          <w:p w14:paraId="4A8786A0" w14:textId="77777777" w:rsidR="005C3C9C" w:rsidRPr="00C41B11" w:rsidRDefault="005C3C9C" w:rsidP="002B3DE7">
            <w:pPr>
              <w:pStyle w:val="Tabletext"/>
              <w:ind w:right="170"/>
            </w:pPr>
            <w:r w:rsidRPr="00C41B11">
              <w:t>-0.042</w:t>
            </w:r>
          </w:p>
        </w:tc>
        <w:tc>
          <w:tcPr>
            <w:tcW w:w="222" w:type="dxa"/>
            <w:shd w:val="clear" w:color="auto" w:fill="auto"/>
            <w:vAlign w:val="center"/>
          </w:tcPr>
          <w:p w14:paraId="4C448EA0" w14:textId="77777777" w:rsidR="005C3C9C" w:rsidRPr="00C41B11" w:rsidRDefault="005C3C9C" w:rsidP="002B3DE7">
            <w:pPr>
              <w:pStyle w:val="Tabletext"/>
              <w:ind w:right="170"/>
            </w:pPr>
          </w:p>
        </w:tc>
        <w:tc>
          <w:tcPr>
            <w:tcW w:w="1215" w:type="dxa"/>
            <w:shd w:val="clear" w:color="auto" w:fill="auto"/>
            <w:noWrap/>
            <w:vAlign w:val="center"/>
          </w:tcPr>
          <w:p w14:paraId="7D207C8B" w14:textId="77777777" w:rsidR="005C3C9C" w:rsidRPr="00C41B11" w:rsidRDefault="005C3C9C" w:rsidP="002B3DE7">
            <w:pPr>
              <w:pStyle w:val="Tabletext"/>
              <w:ind w:right="170"/>
            </w:pPr>
            <w:r w:rsidRPr="00C41B11">
              <w:t>-2.26</w:t>
            </w:r>
            <w:r w:rsidRPr="00C41B11">
              <w:rPr>
                <w:vertAlign w:val="superscript"/>
              </w:rPr>
              <w:t>*</w:t>
            </w:r>
          </w:p>
        </w:tc>
        <w:tc>
          <w:tcPr>
            <w:tcW w:w="222" w:type="dxa"/>
            <w:shd w:val="clear" w:color="auto" w:fill="auto"/>
            <w:vAlign w:val="center"/>
          </w:tcPr>
          <w:p w14:paraId="6256DA54" w14:textId="77777777" w:rsidR="005C3C9C" w:rsidRPr="00C41B11" w:rsidRDefault="005C3C9C" w:rsidP="002B3DE7">
            <w:pPr>
              <w:pStyle w:val="Tabletext"/>
              <w:ind w:right="170"/>
            </w:pPr>
          </w:p>
        </w:tc>
        <w:tc>
          <w:tcPr>
            <w:tcW w:w="953" w:type="dxa"/>
            <w:shd w:val="clear" w:color="auto" w:fill="auto"/>
            <w:vAlign w:val="center"/>
          </w:tcPr>
          <w:p w14:paraId="3902AFD8" w14:textId="77777777" w:rsidR="005C3C9C" w:rsidRPr="00C41B11" w:rsidRDefault="005C3C9C" w:rsidP="002B3DE7">
            <w:pPr>
              <w:pStyle w:val="Tabletext"/>
              <w:ind w:right="170"/>
            </w:pPr>
            <w:r w:rsidRPr="00C41B11">
              <w:t>-1.61</w:t>
            </w:r>
          </w:p>
        </w:tc>
      </w:tr>
      <w:tr w:rsidR="005C3C9C" w:rsidRPr="00C41B11" w14:paraId="45432878" w14:textId="77777777" w:rsidTr="005C3C9C">
        <w:trPr>
          <w:trHeight w:val="224"/>
        </w:trPr>
        <w:tc>
          <w:tcPr>
            <w:tcW w:w="448" w:type="dxa"/>
            <w:gridSpan w:val="2"/>
          </w:tcPr>
          <w:p w14:paraId="770B0AE3" w14:textId="77777777" w:rsidR="005C3C9C" w:rsidRPr="00C41B11" w:rsidRDefault="005C3C9C" w:rsidP="005C3C9C">
            <w:pPr>
              <w:pStyle w:val="Tabletext"/>
              <w:ind w:left="-33"/>
            </w:pPr>
          </w:p>
        </w:tc>
        <w:tc>
          <w:tcPr>
            <w:tcW w:w="2641" w:type="dxa"/>
            <w:gridSpan w:val="2"/>
            <w:shd w:val="clear" w:color="auto" w:fill="auto"/>
            <w:noWrap/>
            <w:vAlign w:val="center"/>
          </w:tcPr>
          <w:p w14:paraId="7D2AA9A4" w14:textId="69F85613" w:rsidR="005C3C9C" w:rsidRPr="00C41B11" w:rsidRDefault="005C3C9C" w:rsidP="005C3C9C">
            <w:pPr>
              <w:pStyle w:val="Tabletext"/>
              <w:ind w:left="-33"/>
            </w:pPr>
            <w:r w:rsidRPr="00C41B11">
              <w:t>Fields (AHSS)</w:t>
            </w:r>
          </w:p>
        </w:tc>
        <w:tc>
          <w:tcPr>
            <w:tcW w:w="953" w:type="dxa"/>
            <w:shd w:val="clear" w:color="auto" w:fill="auto"/>
            <w:vAlign w:val="center"/>
          </w:tcPr>
          <w:p w14:paraId="68BAE3E0" w14:textId="77777777" w:rsidR="005C3C9C" w:rsidRPr="00C41B11" w:rsidRDefault="005C3C9C" w:rsidP="002B3DE7">
            <w:pPr>
              <w:pStyle w:val="Tabletext"/>
              <w:ind w:right="170"/>
            </w:pPr>
          </w:p>
        </w:tc>
        <w:tc>
          <w:tcPr>
            <w:tcW w:w="222" w:type="dxa"/>
            <w:shd w:val="clear" w:color="auto" w:fill="auto"/>
            <w:vAlign w:val="center"/>
          </w:tcPr>
          <w:p w14:paraId="64C4E668" w14:textId="77777777" w:rsidR="005C3C9C" w:rsidRPr="00C41B11" w:rsidRDefault="005C3C9C" w:rsidP="002B3DE7">
            <w:pPr>
              <w:pStyle w:val="Tabletext"/>
              <w:ind w:right="170"/>
            </w:pPr>
          </w:p>
        </w:tc>
        <w:tc>
          <w:tcPr>
            <w:tcW w:w="953" w:type="dxa"/>
            <w:shd w:val="clear" w:color="auto" w:fill="auto"/>
            <w:vAlign w:val="center"/>
          </w:tcPr>
          <w:p w14:paraId="70C82268" w14:textId="77777777" w:rsidR="005C3C9C" w:rsidRPr="00C41B11" w:rsidRDefault="005C3C9C" w:rsidP="002B3DE7">
            <w:pPr>
              <w:pStyle w:val="Tabletext"/>
              <w:ind w:right="170"/>
            </w:pPr>
          </w:p>
        </w:tc>
        <w:tc>
          <w:tcPr>
            <w:tcW w:w="222" w:type="dxa"/>
            <w:shd w:val="clear" w:color="auto" w:fill="auto"/>
            <w:vAlign w:val="center"/>
          </w:tcPr>
          <w:p w14:paraId="48DCEEEF" w14:textId="77777777" w:rsidR="005C3C9C" w:rsidRPr="00C41B11" w:rsidRDefault="005C3C9C" w:rsidP="002B3DE7">
            <w:pPr>
              <w:pStyle w:val="Tabletext"/>
              <w:ind w:right="170"/>
            </w:pPr>
          </w:p>
        </w:tc>
        <w:tc>
          <w:tcPr>
            <w:tcW w:w="1215" w:type="dxa"/>
            <w:shd w:val="clear" w:color="auto" w:fill="auto"/>
            <w:noWrap/>
            <w:vAlign w:val="center"/>
          </w:tcPr>
          <w:p w14:paraId="5EC72A1A" w14:textId="77777777" w:rsidR="005C3C9C" w:rsidRPr="00C41B11" w:rsidRDefault="005C3C9C" w:rsidP="002B3DE7">
            <w:pPr>
              <w:pStyle w:val="Tabletext"/>
              <w:ind w:right="170"/>
            </w:pPr>
          </w:p>
        </w:tc>
        <w:tc>
          <w:tcPr>
            <w:tcW w:w="222" w:type="dxa"/>
            <w:shd w:val="clear" w:color="auto" w:fill="auto"/>
            <w:vAlign w:val="center"/>
          </w:tcPr>
          <w:p w14:paraId="19A71B23" w14:textId="77777777" w:rsidR="005C3C9C" w:rsidRPr="00C41B11" w:rsidRDefault="005C3C9C" w:rsidP="002B3DE7">
            <w:pPr>
              <w:pStyle w:val="Tabletext"/>
              <w:ind w:right="170"/>
            </w:pPr>
          </w:p>
        </w:tc>
        <w:tc>
          <w:tcPr>
            <w:tcW w:w="953" w:type="dxa"/>
            <w:shd w:val="clear" w:color="auto" w:fill="auto"/>
            <w:vAlign w:val="center"/>
          </w:tcPr>
          <w:p w14:paraId="3AC8D293" w14:textId="77777777" w:rsidR="005C3C9C" w:rsidRPr="00C41B11" w:rsidRDefault="005C3C9C" w:rsidP="002B3DE7">
            <w:pPr>
              <w:pStyle w:val="Tabletext"/>
              <w:ind w:right="170"/>
            </w:pPr>
          </w:p>
        </w:tc>
      </w:tr>
      <w:tr w:rsidR="005C3C9C" w:rsidRPr="00C41B11" w14:paraId="5BA5C3C7" w14:textId="77777777" w:rsidTr="005C3C9C">
        <w:trPr>
          <w:trHeight w:val="224"/>
        </w:trPr>
        <w:tc>
          <w:tcPr>
            <w:tcW w:w="241" w:type="dxa"/>
            <w:shd w:val="clear" w:color="auto" w:fill="auto"/>
            <w:noWrap/>
            <w:vAlign w:val="center"/>
            <w:hideMark/>
          </w:tcPr>
          <w:p w14:paraId="3C745FFB" w14:textId="77777777" w:rsidR="005C3C9C" w:rsidRPr="00C41B11" w:rsidRDefault="005C3C9C" w:rsidP="00DA0512">
            <w:pPr>
              <w:pStyle w:val="Tabletext"/>
            </w:pPr>
          </w:p>
        </w:tc>
        <w:tc>
          <w:tcPr>
            <w:tcW w:w="448" w:type="dxa"/>
            <w:gridSpan w:val="2"/>
          </w:tcPr>
          <w:p w14:paraId="0AE833F9" w14:textId="77777777" w:rsidR="005C3C9C" w:rsidRPr="00C41B11" w:rsidRDefault="005C3C9C" w:rsidP="005C3C9C">
            <w:pPr>
              <w:pStyle w:val="Tabletext"/>
              <w:ind w:left="-33"/>
            </w:pPr>
          </w:p>
        </w:tc>
        <w:tc>
          <w:tcPr>
            <w:tcW w:w="2400" w:type="dxa"/>
            <w:shd w:val="clear" w:color="auto" w:fill="auto"/>
            <w:noWrap/>
            <w:vAlign w:val="center"/>
            <w:hideMark/>
          </w:tcPr>
          <w:p w14:paraId="5792F899" w14:textId="7DADAD8F" w:rsidR="005C3C9C" w:rsidRPr="00C41B11" w:rsidRDefault="005C3C9C" w:rsidP="00DA0512">
            <w:pPr>
              <w:pStyle w:val="Tabletext"/>
            </w:pPr>
            <w:proofErr w:type="spellStart"/>
            <w:r w:rsidRPr="00C41B11">
              <w:t>EngSci</w:t>
            </w:r>
            <w:proofErr w:type="spellEnd"/>
          </w:p>
        </w:tc>
        <w:tc>
          <w:tcPr>
            <w:tcW w:w="953" w:type="dxa"/>
            <w:shd w:val="clear" w:color="auto" w:fill="auto"/>
            <w:vAlign w:val="center"/>
          </w:tcPr>
          <w:p w14:paraId="3C57EC4F" w14:textId="77777777" w:rsidR="005C3C9C" w:rsidRPr="00C41B11" w:rsidRDefault="005C3C9C" w:rsidP="002B3DE7">
            <w:pPr>
              <w:pStyle w:val="Tabletext"/>
              <w:ind w:right="170"/>
            </w:pPr>
            <w:r w:rsidRPr="00C41B11">
              <w:t>0.090</w:t>
            </w:r>
            <w:r w:rsidRPr="00C41B11">
              <w:rPr>
                <w:vertAlign w:val="superscript"/>
              </w:rPr>
              <w:t>*</w:t>
            </w:r>
          </w:p>
        </w:tc>
        <w:tc>
          <w:tcPr>
            <w:tcW w:w="222" w:type="dxa"/>
            <w:shd w:val="clear" w:color="auto" w:fill="auto"/>
            <w:vAlign w:val="center"/>
          </w:tcPr>
          <w:p w14:paraId="14116DAA" w14:textId="77777777" w:rsidR="005C3C9C" w:rsidRPr="00C41B11" w:rsidRDefault="005C3C9C" w:rsidP="002B3DE7">
            <w:pPr>
              <w:pStyle w:val="Tabletext"/>
              <w:ind w:right="170"/>
            </w:pPr>
          </w:p>
        </w:tc>
        <w:tc>
          <w:tcPr>
            <w:tcW w:w="953" w:type="dxa"/>
            <w:shd w:val="clear" w:color="auto" w:fill="auto"/>
            <w:vAlign w:val="center"/>
            <w:hideMark/>
          </w:tcPr>
          <w:p w14:paraId="7BA8D9DD" w14:textId="77777777" w:rsidR="005C3C9C" w:rsidRPr="00C41B11" w:rsidRDefault="005C3C9C" w:rsidP="002B3DE7">
            <w:pPr>
              <w:pStyle w:val="Tabletext"/>
              <w:ind w:right="170"/>
            </w:pPr>
            <w:r w:rsidRPr="00C41B11">
              <w:t>0.062</w:t>
            </w:r>
            <w:r w:rsidRPr="00C41B11">
              <w:rPr>
                <w:vertAlign w:val="superscript"/>
              </w:rPr>
              <w:t>*</w:t>
            </w:r>
          </w:p>
        </w:tc>
        <w:tc>
          <w:tcPr>
            <w:tcW w:w="222" w:type="dxa"/>
            <w:shd w:val="clear" w:color="auto" w:fill="auto"/>
            <w:vAlign w:val="center"/>
          </w:tcPr>
          <w:p w14:paraId="17BADB97" w14:textId="77777777" w:rsidR="005C3C9C" w:rsidRPr="00C41B11" w:rsidRDefault="005C3C9C" w:rsidP="002B3DE7">
            <w:pPr>
              <w:pStyle w:val="Tabletext"/>
              <w:ind w:right="170"/>
            </w:pPr>
          </w:p>
        </w:tc>
        <w:tc>
          <w:tcPr>
            <w:tcW w:w="1215" w:type="dxa"/>
            <w:shd w:val="clear" w:color="auto" w:fill="auto"/>
            <w:noWrap/>
            <w:vAlign w:val="center"/>
          </w:tcPr>
          <w:p w14:paraId="7686DD55" w14:textId="77777777" w:rsidR="005C3C9C" w:rsidRPr="00C41B11" w:rsidRDefault="005C3C9C" w:rsidP="002B3DE7">
            <w:pPr>
              <w:pStyle w:val="Tabletext"/>
              <w:ind w:right="170"/>
            </w:pPr>
            <w:r w:rsidRPr="00C41B11">
              <w:t>4.39</w:t>
            </w:r>
            <w:r w:rsidRPr="00C41B11">
              <w:rPr>
                <w:vertAlign w:val="superscript"/>
              </w:rPr>
              <w:t>***</w:t>
            </w:r>
          </w:p>
        </w:tc>
        <w:tc>
          <w:tcPr>
            <w:tcW w:w="222" w:type="dxa"/>
            <w:shd w:val="clear" w:color="auto" w:fill="auto"/>
            <w:vAlign w:val="center"/>
          </w:tcPr>
          <w:p w14:paraId="2EE60FE6" w14:textId="77777777" w:rsidR="005C3C9C" w:rsidRPr="00C41B11" w:rsidRDefault="005C3C9C" w:rsidP="002B3DE7">
            <w:pPr>
              <w:pStyle w:val="Tabletext"/>
              <w:ind w:right="170"/>
            </w:pPr>
          </w:p>
        </w:tc>
        <w:tc>
          <w:tcPr>
            <w:tcW w:w="953" w:type="dxa"/>
            <w:shd w:val="clear" w:color="auto" w:fill="auto"/>
            <w:vAlign w:val="center"/>
            <w:hideMark/>
          </w:tcPr>
          <w:p w14:paraId="4AFCB482" w14:textId="77777777" w:rsidR="005C3C9C" w:rsidRPr="00C41B11" w:rsidRDefault="005C3C9C" w:rsidP="002B3DE7">
            <w:pPr>
              <w:pStyle w:val="Tabletext"/>
              <w:ind w:right="170"/>
            </w:pPr>
            <w:r w:rsidRPr="00C41B11">
              <w:t>4.56</w:t>
            </w:r>
            <w:r w:rsidRPr="00C41B11">
              <w:rPr>
                <w:vertAlign w:val="superscript"/>
              </w:rPr>
              <w:t>***</w:t>
            </w:r>
          </w:p>
        </w:tc>
      </w:tr>
      <w:tr w:rsidR="005C3C9C" w:rsidRPr="00C41B11" w14:paraId="5D187425" w14:textId="77777777" w:rsidTr="005C3C9C">
        <w:trPr>
          <w:trHeight w:val="224"/>
        </w:trPr>
        <w:tc>
          <w:tcPr>
            <w:tcW w:w="241" w:type="dxa"/>
            <w:shd w:val="clear" w:color="auto" w:fill="auto"/>
            <w:noWrap/>
            <w:vAlign w:val="center"/>
            <w:hideMark/>
          </w:tcPr>
          <w:p w14:paraId="0154A05C" w14:textId="77777777" w:rsidR="005C3C9C" w:rsidRPr="00C41B11" w:rsidRDefault="005C3C9C" w:rsidP="00DA0512">
            <w:pPr>
              <w:pStyle w:val="Tabletext"/>
            </w:pPr>
          </w:p>
        </w:tc>
        <w:tc>
          <w:tcPr>
            <w:tcW w:w="448" w:type="dxa"/>
            <w:gridSpan w:val="2"/>
          </w:tcPr>
          <w:p w14:paraId="756E315A" w14:textId="77777777" w:rsidR="005C3C9C" w:rsidRPr="00C41B11" w:rsidRDefault="005C3C9C" w:rsidP="005C3C9C">
            <w:pPr>
              <w:pStyle w:val="Tabletext"/>
              <w:ind w:left="-33"/>
            </w:pPr>
          </w:p>
        </w:tc>
        <w:tc>
          <w:tcPr>
            <w:tcW w:w="2400" w:type="dxa"/>
            <w:shd w:val="clear" w:color="auto" w:fill="auto"/>
            <w:noWrap/>
            <w:vAlign w:val="center"/>
          </w:tcPr>
          <w:p w14:paraId="26988E97" w14:textId="091E9607" w:rsidR="005C3C9C" w:rsidRPr="00C41B11" w:rsidRDefault="005C3C9C" w:rsidP="00DA0512">
            <w:pPr>
              <w:pStyle w:val="Tabletext"/>
            </w:pPr>
            <w:r w:rsidRPr="00C41B11">
              <w:t>Business</w:t>
            </w:r>
          </w:p>
        </w:tc>
        <w:tc>
          <w:tcPr>
            <w:tcW w:w="953" w:type="dxa"/>
            <w:shd w:val="clear" w:color="auto" w:fill="auto"/>
            <w:noWrap/>
            <w:vAlign w:val="center"/>
          </w:tcPr>
          <w:p w14:paraId="45A2EDEE" w14:textId="77777777" w:rsidR="005C3C9C" w:rsidRPr="00C41B11" w:rsidRDefault="005C3C9C" w:rsidP="002B3DE7">
            <w:pPr>
              <w:pStyle w:val="Tabletext"/>
              <w:ind w:right="170"/>
            </w:pPr>
            <w:r w:rsidRPr="00C41B11">
              <w:t>0.108</w:t>
            </w:r>
            <w:r w:rsidRPr="00C41B11">
              <w:rPr>
                <w:vertAlign w:val="superscript"/>
              </w:rPr>
              <w:t>*</w:t>
            </w:r>
          </w:p>
        </w:tc>
        <w:tc>
          <w:tcPr>
            <w:tcW w:w="222" w:type="dxa"/>
            <w:shd w:val="clear" w:color="auto" w:fill="auto"/>
            <w:vAlign w:val="center"/>
          </w:tcPr>
          <w:p w14:paraId="168E95D9" w14:textId="77777777" w:rsidR="005C3C9C" w:rsidRPr="00C41B11" w:rsidRDefault="005C3C9C" w:rsidP="002B3DE7">
            <w:pPr>
              <w:pStyle w:val="Tabletext"/>
              <w:ind w:right="170"/>
            </w:pPr>
          </w:p>
        </w:tc>
        <w:tc>
          <w:tcPr>
            <w:tcW w:w="953" w:type="dxa"/>
            <w:shd w:val="clear" w:color="auto" w:fill="auto"/>
            <w:noWrap/>
            <w:vAlign w:val="center"/>
          </w:tcPr>
          <w:p w14:paraId="77176179" w14:textId="77777777" w:rsidR="005C3C9C" w:rsidRPr="00C41B11" w:rsidRDefault="005C3C9C" w:rsidP="002B3DE7">
            <w:pPr>
              <w:pStyle w:val="Tabletext"/>
              <w:ind w:right="170"/>
            </w:pPr>
            <w:r w:rsidRPr="00C41B11">
              <w:t>0.153</w:t>
            </w:r>
            <w:r w:rsidRPr="00C41B11">
              <w:rPr>
                <w:vertAlign w:val="superscript"/>
              </w:rPr>
              <w:t>***</w:t>
            </w:r>
          </w:p>
        </w:tc>
        <w:tc>
          <w:tcPr>
            <w:tcW w:w="222" w:type="dxa"/>
            <w:shd w:val="clear" w:color="auto" w:fill="auto"/>
            <w:vAlign w:val="center"/>
          </w:tcPr>
          <w:p w14:paraId="57034F46" w14:textId="77777777" w:rsidR="005C3C9C" w:rsidRPr="00C41B11" w:rsidRDefault="005C3C9C" w:rsidP="002B3DE7">
            <w:pPr>
              <w:pStyle w:val="Tabletext"/>
              <w:ind w:right="170"/>
            </w:pPr>
          </w:p>
        </w:tc>
        <w:tc>
          <w:tcPr>
            <w:tcW w:w="1215" w:type="dxa"/>
            <w:shd w:val="clear" w:color="auto" w:fill="auto"/>
            <w:noWrap/>
            <w:vAlign w:val="center"/>
          </w:tcPr>
          <w:p w14:paraId="3505150F" w14:textId="77777777" w:rsidR="005C3C9C" w:rsidRPr="00C41B11" w:rsidRDefault="005C3C9C" w:rsidP="002B3DE7">
            <w:pPr>
              <w:pStyle w:val="Tabletext"/>
              <w:ind w:right="170"/>
            </w:pPr>
            <w:r w:rsidRPr="00C41B11">
              <w:t>2.61</w:t>
            </w:r>
            <w:r w:rsidRPr="00C41B11">
              <w:rPr>
                <w:vertAlign w:val="superscript"/>
              </w:rPr>
              <w:t>**</w:t>
            </w:r>
          </w:p>
        </w:tc>
        <w:tc>
          <w:tcPr>
            <w:tcW w:w="222" w:type="dxa"/>
            <w:shd w:val="clear" w:color="auto" w:fill="auto"/>
            <w:vAlign w:val="center"/>
          </w:tcPr>
          <w:p w14:paraId="1F05B81E" w14:textId="77777777" w:rsidR="005C3C9C" w:rsidRPr="00C41B11" w:rsidRDefault="005C3C9C" w:rsidP="002B3DE7">
            <w:pPr>
              <w:pStyle w:val="Tabletext"/>
              <w:ind w:right="170"/>
            </w:pPr>
          </w:p>
        </w:tc>
        <w:tc>
          <w:tcPr>
            <w:tcW w:w="953" w:type="dxa"/>
            <w:shd w:val="clear" w:color="auto" w:fill="auto"/>
            <w:vAlign w:val="center"/>
          </w:tcPr>
          <w:p w14:paraId="39751E4E" w14:textId="77777777" w:rsidR="005C3C9C" w:rsidRPr="00C41B11" w:rsidRDefault="005C3C9C" w:rsidP="002B3DE7">
            <w:pPr>
              <w:pStyle w:val="Tabletext"/>
              <w:ind w:right="170"/>
            </w:pPr>
            <w:r w:rsidRPr="00C41B11">
              <w:t>2.94</w:t>
            </w:r>
            <w:r w:rsidRPr="00C41B11">
              <w:rPr>
                <w:vertAlign w:val="superscript"/>
              </w:rPr>
              <w:t>*</w:t>
            </w:r>
          </w:p>
        </w:tc>
      </w:tr>
      <w:tr w:rsidR="005C3C9C" w:rsidRPr="00C41B11" w14:paraId="217D719F" w14:textId="77777777" w:rsidTr="005C3C9C">
        <w:trPr>
          <w:trHeight w:val="224"/>
        </w:trPr>
        <w:tc>
          <w:tcPr>
            <w:tcW w:w="241" w:type="dxa"/>
            <w:shd w:val="clear" w:color="auto" w:fill="auto"/>
            <w:noWrap/>
            <w:vAlign w:val="center"/>
            <w:hideMark/>
          </w:tcPr>
          <w:p w14:paraId="0E2C992B" w14:textId="77777777" w:rsidR="005C3C9C" w:rsidRPr="00C41B11" w:rsidRDefault="005C3C9C" w:rsidP="00DA0512">
            <w:pPr>
              <w:pStyle w:val="Tabletext"/>
            </w:pPr>
          </w:p>
        </w:tc>
        <w:tc>
          <w:tcPr>
            <w:tcW w:w="448" w:type="dxa"/>
            <w:gridSpan w:val="2"/>
          </w:tcPr>
          <w:p w14:paraId="7F6C0859" w14:textId="77777777" w:rsidR="005C3C9C" w:rsidRPr="00C41B11" w:rsidRDefault="005C3C9C" w:rsidP="005C3C9C">
            <w:pPr>
              <w:pStyle w:val="Tabletext"/>
              <w:ind w:left="-33"/>
            </w:pPr>
          </w:p>
        </w:tc>
        <w:tc>
          <w:tcPr>
            <w:tcW w:w="2400" w:type="dxa"/>
            <w:shd w:val="clear" w:color="auto" w:fill="auto"/>
            <w:noWrap/>
            <w:vAlign w:val="center"/>
          </w:tcPr>
          <w:p w14:paraId="5FFCC569" w14:textId="1F684D59" w:rsidR="005C3C9C" w:rsidRPr="00C41B11" w:rsidRDefault="005C3C9C" w:rsidP="00DA0512">
            <w:pPr>
              <w:pStyle w:val="Tabletext"/>
            </w:pPr>
            <w:r w:rsidRPr="00C41B11">
              <w:t>Health</w:t>
            </w:r>
          </w:p>
        </w:tc>
        <w:tc>
          <w:tcPr>
            <w:tcW w:w="953" w:type="dxa"/>
            <w:shd w:val="clear" w:color="auto" w:fill="auto"/>
            <w:vAlign w:val="center"/>
          </w:tcPr>
          <w:p w14:paraId="7F2E2F39" w14:textId="77777777" w:rsidR="005C3C9C" w:rsidRPr="00C41B11" w:rsidRDefault="005C3C9C" w:rsidP="002B3DE7">
            <w:pPr>
              <w:pStyle w:val="Tabletext"/>
              <w:ind w:right="170"/>
            </w:pPr>
            <w:r w:rsidRPr="00C41B11">
              <w:t>0.152</w:t>
            </w:r>
            <w:r w:rsidRPr="00C41B11">
              <w:rPr>
                <w:vertAlign w:val="superscript"/>
              </w:rPr>
              <w:t>**</w:t>
            </w:r>
          </w:p>
        </w:tc>
        <w:tc>
          <w:tcPr>
            <w:tcW w:w="222" w:type="dxa"/>
            <w:shd w:val="clear" w:color="auto" w:fill="auto"/>
            <w:vAlign w:val="center"/>
          </w:tcPr>
          <w:p w14:paraId="29D694FF" w14:textId="77777777" w:rsidR="005C3C9C" w:rsidRPr="00C41B11" w:rsidRDefault="005C3C9C" w:rsidP="002B3DE7">
            <w:pPr>
              <w:pStyle w:val="Tabletext"/>
              <w:ind w:right="170"/>
            </w:pPr>
          </w:p>
        </w:tc>
        <w:tc>
          <w:tcPr>
            <w:tcW w:w="953" w:type="dxa"/>
            <w:shd w:val="clear" w:color="auto" w:fill="auto"/>
            <w:vAlign w:val="center"/>
          </w:tcPr>
          <w:p w14:paraId="281EB4B5" w14:textId="77777777" w:rsidR="005C3C9C" w:rsidRPr="00C41B11" w:rsidRDefault="005C3C9C" w:rsidP="002B3DE7">
            <w:pPr>
              <w:pStyle w:val="Tabletext"/>
              <w:ind w:right="170"/>
            </w:pPr>
            <w:r w:rsidRPr="00C41B11">
              <w:t>0.219</w:t>
            </w:r>
            <w:r w:rsidRPr="00C41B11">
              <w:rPr>
                <w:vertAlign w:val="superscript"/>
              </w:rPr>
              <w:t>***</w:t>
            </w:r>
          </w:p>
        </w:tc>
        <w:tc>
          <w:tcPr>
            <w:tcW w:w="222" w:type="dxa"/>
            <w:shd w:val="clear" w:color="auto" w:fill="auto"/>
            <w:vAlign w:val="center"/>
          </w:tcPr>
          <w:p w14:paraId="3D0754D4" w14:textId="77777777" w:rsidR="005C3C9C" w:rsidRPr="00C41B11" w:rsidRDefault="005C3C9C" w:rsidP="002B3DE7">
            <w:pPr>
              <w:pStyle w:val="Tabletext"/>
              <w:ind w:right="170"/>
            </w:pPr>
          </w:p>
        </w:tc>
        <w:tc>
          <w:tcPr>
            <w:tcW w:w="1215" w:type="dxa"/>
            <w:shd w:val="clear" w:color="auto" w:fill="auto"/>
            <w:vAlign w:val="center"/>
          </w:tcPr>
          <w:p w14:paraId="5D4E1105" w14:textId="77777777" w:rsidR="005C3C9C" w:rsidRPr="00C41B11" w:rsidRDefault="005C3C9C" w:rsidP="002B3DE7">
            <w:pPr>
              <w:pStyle w:val="Tabletext"/>
              <w:ind w:right="170"/>
            </w:pPr>
            <w:r w:rsidRPr="00C41B11">
              <w:t>9.31</w:t>
            </w:r>
            <w:r w:rsidRPr="00C41B11">
              <w:rPr>
                <w:vertAlign w:val="superscript"/>
              </w:rPr>
              <w:t>***</w:t>
            </w:r>
          </w:p>
        </w:tc>
        <w:tc>
          <w:tcPr>
            <w:tcW w:w="222" w:type="dxa"/>
            <w:shd w:val="clear" w:color="auto" w:fill="auto"/>
            <w:vAlign w:val="center"/>
          </w:tcPr>
          <w:p w14:paraId="16EFDC03" w14:textId="77777777" w:rsidR="005C3C9C" w:rsidRPr="00C41B11" w:rsidRDefault="005C3C9C" w:rsidP="002B3DE7">
            <w:pPr>
              <w:pStyle w:val="Tabletext"/>
              <w:ind w:right="170"/>
            </w:pPr>
          </w:p>
        </w:tc>
        <w:tc>
          <w:tcPr>
            <w:tcW w:w="953" w:type="dxa"/>
            <w:shd w:val="clear" w:color="auto" w:fill="auto"/>
            <w:vAlign w:val="center"/>
          </w:tcPr>
          <w:p w14:paraId="0AD827D9" w14:textId="77777777" w:rsidR="005C3C9C" w:rsidRPr="00C41B11" w:rsidRDefault="005C3C9C" w:rsidP="002B3DE7">
            <w:pPr>
              <w:pStyle w:val="Tabletext"/>
              <w:ind w:right="170"/>
            </w:pPr>
            <w:r w:rsidRPr="00C41B11">
              <w:t>9.14</w:t>
            </w:r>
            <w:r w:rsidRPr="00C41B11">
              <w:rPr>
                <w:vertAlign w:val="superscript"/>
              </w:rPr>
              <w:t>***</w:t>
            </w:r>
          </w:p>
        </w:tc>
      </w:tr>
      <w:tr w:rsidR="005C3C9C" w:rsidRPr="00C41B11" w14:paraId="5E58F139" w14:textId="77777777" w:rsidTr="005C3C9C">
        <w:trPr>
          <w:trHeight w:val="224"/>
        </w:trPr>
        <w:tc>
          <w:tcPr>
            <w:tcW w:w="241" w:type="dxa"/>
            <w:shd w:val="clear" w:color="auto" w:fill="auto"/>
            <w:noWrap/>
            <w:vAlign w:val="center"/>
            <w:hideMark/>
          </w:tcPr>
          <w:p w14:paraId="647CA6AB" w14:textId="77777777" w:rsidR="005C3C9C" w:rsidRPr="00C41B11" w:rsidRDefault="005C3C9C" w:rsidP="00DA0512">
            <w:pPr>
              <w:pStyle w:val="Tabletext"/>
            </w:pPr>
          </w:p>
        </w:tc>
        <w:tc>
          <w:tcPr>
            <w:tcW w:w="448" w:type="dxa"/>
            <w:gridSpan w:val="2"/>
          </w:tcPr>
          <w:p w14:paraId="23813050" w14:textId="77777777" w:rsidR="005C3C9C" w:rsidRPr="00C41B11" w:rsidRDefault="005C3C9C" w:rsidP="005C3C9C">
            <w:pPr>
              <w:pStyle w:val="Tabletext"/>
              <w:ind w:left="-33"/>
            </w:pPr>
          </w:p>
        </w:tc>
        <w:tc>
          <w:tcPr>
            <w:tcW w:w="2400" w:type="dxa"/>
            <w:shd w:val="clear" w:color="auto" w:fill="auto"/>
            <w:noWrap/>
            <w:vAlign w:val="center"/>
          </w:tcPr>
          <w:p w14:paraId="1D12DA05" w14:textId="6E89474C" w:rsidR="005C3C9C" w:rsidRPr="00C41B11" w:rsidRDefault="005C3C9C" w:rsidP="00DA0512">
            <w:pPr>
              <w:pStyle w:val="Tabletext"/>
            </w:pPr>
            <w:r w:rsidRPr="00C41B11">
              <w:t>Other</w:t>
            </w:r>
          </w:p>
        </w:tc>
        <w:tc>
          <w:tcPr>
            <w:tcW w:w="953" w:type="dxa"/>
            <w:shd w:val="clear" w:color="auto" w:fill="auto"/>
            <w:vAlign w:val="center"/>
          </w:tcPr>
          <w:p w14:paraId="7742BADE" w14:textId="77777777" w:rsidR="005C3C9C" w:rsidRPr="00C41B11" w:rsidRDefault="005C3C9C" w:rsidP="002B3DE7">
            <w:pPr>
              <w:pStyle w:val="Tabletext"/>
              <w:ind w:right="170"/>
            </w:pPr>
            <w:r w:rsidRPr="00C41B11">
              <w:t>0.075</w:t>
            </w:r>
          </w:p>
        </w:tc>
        <w:tc>
          <w:tcPr>
            <w:tcW w:w="222" w:type="dxa"/>
            <w:shd w:val="clear" w:color="auto" w:fill="auto"/>
            <w:vAlign w:val="center"/>
          </w:tcPr>
          <w:p w14:paraId="5607DAAC" w14:textId="77777777" w:rsidR="005C3C9C" w:rsidRPr="00C41B11" w:rsidRDefault="005C3C9C" w:rsidP="002B3DE7">
            <w:pPr>
              <w:pStyle w:val="Tabletext"/>
              <w:ind w:right="170"/>
            </w:pPr>
          </w:p>
        </w:tc>
        <w:tc>
          <w:tcPr>
            <w:tcW w:w="953" w:type="dxa"/>
            <w:shd w:val="clear" w:color="auto" w:fill="auto"/>
            <w:vAlign w:val="center"/>
          </w:tcPr>
          <w:p w14:paraId="065CD46D" w14:textId="77777777" w:rsidR="005C3C9C" w:rsidRPr="00C41B11" w:rsidRDefault="005C3C9C" w:rsidP="002B3DE7">
            <w:pPr>
              <w:pStyle w:val="Tabletext"/>
              <w:ind w:right="170"/>
            </w:pPr>
            <w:r w:rsidRPr="00C41B11">
              <w:t>0.141</w:t>
            </w:r>
            <w:r w:rsidRPr="00C41B11">
              <w:rPr>
                <w:vertAlign w:val="superscript"/>
              </w:rPr>
              <w:t>***</w:t>
            </w:r>
          </w:p>
        </w:tc>
        <w:tc>
          <w:tcPr>
            <w:tcW w:w="222" w:type="dxa"/>
            <w:shd w:val="clear" w:color="auto" w:fill="auto"/>
            <w:vAlign w:val="center"/>
          </w:tcPr>
          <w:p w14:paraId="324E0834" w14:textId="77777777" w:rsidR="005C3C9C" w:rsidRPr="00C41B11" w:rsidRDefault="005C3C9C" w:rsidP="002B3DE7">
            <w:pPr>
              <w:pStyle w:val="Tabletext"/>
              <w:ind w:right="170"/>
            </w:pPr>
          </w:p>
        </w:tc>
        <w:tc>
          <w:tcPr>
            <w:tcW w:w="1215" w:type="dxa"/>
            <w:shd w:val="clear" w:color="auto" w:fill="auto"/>
            <w:vAlign w:val="center"/>
          </w:tcPr>
          <w:p w14:paraId="769D8BFA" w14:textId="77777777" w:rsidR="005C3C9C" w:rsidRPr="00C41B11" w:rsidRDefault="005C3C9C" w:rsidP="002B3DE7">
            <w:pPr>
              <w:pStyle w:val="Tabletext"/>
              <w:ind w:right="170"/>
            </w:pPr>
            <w:r w:rsidRPr="00C41B11">
              <w:t>9.84</w:t>
            </w:r>
            <w:r w:rsidRPr="00C41B11">
              <w:rPr>
                <w:vertAlign w:val="superscript"/>
              </w:rPr>
              <w:t>***</w:t>
            </w:r>
          </w:p>
        </w:tc>
        <w:tc>
          <w:tcPr>
            <w:tcW w:w="222" w:type="dxa"/>
            <w:shd w:val="clear" w:color="auto" w:fill="auto"/>
            <w:vAlign w:val="center"/>
          </w:tcPr>
          <w:p w14:paraId="150FF4E7" w14:textId="77777777" w:rsidR="005C3C9C" w:rsidRPr="00C41B11" w:rsidRDefault="005C3C9C" w:rsidP="002B3DE7">
            <w:pPr>
              <w:pStyle w:val="Tabletext"/>
              <w:ind w:right="170"/>
            </w:pPr>
          </w:p>
        </w:tc>
        <w:tc>
          <w:tcPr>
            <w:tcW w:w="953" w:type="dxa"/>
            <w:shd w:val="clear" w:color="auto" w:fill="auto"/>
            <w:vAlign w:val="center"/>
          </w:tcPr>
          <w:p w14:paraId="2032F7CB" w14:textId="77777777" w:rsidR="005C3C9C" w:rsidRPr="00C41B11" w:rsidRDefault="005C3C9C" w:rsidP="002B3DE7">
            <w:pPr>
              <w:pStyle w:val="Tabletext"/>
              <w:ind w:right="170"/>
            </w:pPr>
            <w:r w:rsidRPr="00C41B11">
              <w:t>10.53</w:t>
            </w:r>
            <w:r w:rsidRPr="00C41B11">
              <w:rPr>
                <w:vertAlign w:val="superscript"/>
              </w:rPr>
              <w:t>***</w:t>
            </w:r>
          </w:p>
        </w:tc>
      </w:tr>
    </w:tbl>
    <w:p w14:paraId="7AEB4026" w14:textId="7D9B1609" w:rsidR="00F900B5" w:rsidRDefault="000F5784" w:rsidP="00BB2294">
      <w:pPr>
        <w:pStyle w:val="Source"/>
        <w:ind w:left="0" w:firstLine="0"/>
        <w:rPr>
          <w:color w:val="000000"/>
          <w:lang w:eastAsia="en-AU"/>
        </w:rPr>
      </w:pPr>
      <w:r w:rsidRPr="005C670F">
        <w:rPr>
          <w:color w:val="000000"/>
          <w:lang w:eastAsia="en-AU"/>
        </w:rPr>
        <w:t>Note</w:t>
      </w:r>
      <w:r w:rsidRPr="00C41B11">
        <w:rPr>
          <w:i/>
          <w:color w:val="000000"/>
          <w:lang w:eastAsia="en-AU"/>
        </w:rPr>
        <w:t>:</w:t>
      </w:r>
      <w:r w:rsidRPr="00C41B11">
        <w:rPr>
          <w:color w:val="000000"/>
          <w:lang w:eastAsia="en-AU"/>
        </w:rPr>
        <w:t xml:space="preserve"> </w:t>
      </w:r>
      <w:r w:rsidRPr="00C41B11">
        <w:t>Reference groups are in parentheses. Sandstones (or Group of Eight)</w:t>
      </w:r>
      <w:r w:rsidR="00301B29">
        <w:t xml:space="preserve"> are </w:t>
      </w:r>
      <w:r w:rsidRPr="00C41B11">
        <w:t>the older and most prestigious universities</w:t>
      </w:r>
      <w:r w:rsidR="00301B29">
        <w:t>;</w:t>
      </w:r>
      <w:r w:rsidRPr="00C41B11">
        <w:t xml:space="preserve"> gumtrees</w:t>
      </w:r>
      <w:r w:rsidR="00301B29">
        <w:t xml:space="preserve"> are </w:t>
      </w:r>
      <w:r w:rsidRPr="00C41B11">
        <w:t>the second-tier universities</w:t>
      </w:r>
      <w:r w:rsidR="00BA5A78">
        <w:t>,</w:t>
      </w:r>
      <w:r w:rsidRPr="00C41B11">
        <w:t xml:space="preserve"> established prior to 1987; </w:t>
      </w:r>
      <w:proofErr w:type="spellStart"/>
      <w:r w:rsidRPr="00C41B11">
        <w:t>unitechs</w:t>
      </w:r>
      <w:proofErr w:type="spellEnd"/>
      <w:r w:rsidR="00301B29">
        <w:t xml:space="preserve"> are the </w:t>
      </w:r>
      <w:r w:rsidRPr="00C41B11">
        <w:t>large institutes of technology; other universitie</w:t>
      </w:r>
      <w:r w:rsidR="00301B29">
        <w:t xml:space="preserve">s are those </w:t>
      </w:r>
      <w:r w:rsidRPr="00C41B11">
        <w:t xml:space="preserve">that achieved university status after 1987 and private universities. </w:t>
      </w:r>
      <w:r w:rsidRPr="00C41B11">
        <w:rPr>
          <w:color w:val="000000"/>
          <w:lang w:eastAsia="en-AU"/>
        </w:rPr>
        <w:t xml:space="preserve">AHSS refers to arts, humanity, and social science; </w:t>
      </w:r>
      <w:proofErr w:type="spellStart"/>
      <w:r w:rsidRPr="00C41B11">
        <w:rPr>
          <w:color w:val="000000"/>
          <w:lang w:eastAsia="en-AU"/>
        </w:rPr>
        <w:t>EngSci</w:t>
      </w:r>
      <w:proofErr w:type="spellEnd"/>
      <w:r w:rsidRPr="00C41B11">
        <w:rPr>
          <w:color w:val="000000"/>
          <w:lang w:eastAsia="en-AU"/>
        </w:rPr>
        <w:t xml:space="preserve"> refers to engineering and sciences. </w:t>
      </w:r>
    </w:p>
    <w:p w14:paraId="152B06AE" w14:textId="45310879" w:rsidR="000F5784" w:rsidRPr="00C41B11" w:rsidRDefault="000F5784" w:rsidP="00BB2294">
      <w:pPr>
        <w:pStyle w:val="Source"/>
        <w:ind w:left="0" w:firstLine="0"/>
        <w:rPr>
          <w:color w:val="000000"/>
          <w:lang w:eastAsia="en-AU"/>
        </w:rPr>
      </w:pPr>
      <w:r w:rsidRPr="00C41B11">
        <w:rPr>
          <w:vertAlign w:val="superscript"/>
        </w:rPr>
        <w:t>*</w:t>
      </w:r>
      <w:r w:rsidRPr="00C41B11">
        <w:t xml:space="preserve"> </w:t>
      </w:r>
      <w:r w:rsidRPr="00C41B11">
        <w:rPr>
          <w:i/>
        </w:rPr>
        <w:t>p</w:t>
      </w:r>
      <w:r w:rsidRPr="00C41B11">
        <w:t xml:space="preserve"> &lt; .05, </w:t>
      </w:r>
      <w:r w:rsidRPr="00C41B11">
        <w:rPr>
          <w:vertAlign w:val="superscript"/>
        </w:rPr>
        <w:t>**</w:t>
      </w:r>
      <w:r w:rsidRPr="00C41B11">
        <w:t xml:space="preserve"> </w:t>
      </w:r>
      <w:r w:rsidRPr="00C41B11">
        <w:rPr>
          <w:i/>
        </w:rPr>
        <w:t>p</w:t>
      </w:r>
      <w:r w:rsidRPr="00C41B11">
        <w:t xml:space="preserve"> &lt; .01, </w:t>
      </w:r>
      <w:r w:rsidRPr="00C41B11">
        <w:rPr>
          <w:vertAlign w:val="superscript"/>
        </w:rPr>
        <w:t>***</w:t>
      </w:r>
      <w:r w:rsidRPr="00C41B11">
        <w:t xml:space="preserve"> </w:t>
      </w:r>
      <w:r w:rsidRPr="00C41B11">
        <w:rPr>
          <w:i/>
        </w:rPr>
        <w:t>p</w:t>
      </w:r>
      <w:r w:rsidRPr="00C41B11">
        <w:t xml:space="preserve"> &lt; .001</w:t>
      </w:r>
      <w:r w:rsidR="00BA5A78">
        <w:t>.</w:t>
      </w:r>
    </w:p>
    <w:p w14:paraId="2EABF510" w14:textId="77777777" w:rsidR="000F5784" w:rsidRDefault="000F5784" w:rsidP="000F5784">
      <w:pPr>
        <w:pStyle w:val="Heading2"/>
      </w:pPr>
      <w:bookmarkStart w:id="75" w:name="_Toc15048893"/>
      <w:bookmarkStart w:id="76" w:name="_Toc19803906"/>
      <w:r>
        <w:t>The influence of family background on educational attainment</w:t>
      </w:r>
      <w:bookmarkEnd w:id="75"/>
      <w:bookmarkEnd w:id="76"/>
    </w:p>
    <w:p w14:paraId="15E534F7" w14:textId="56546EE7" w:rsidR="000F5784" w:rsidRDefault="000F5784" w:rsidP="006563EB">
      <w:pPr>
        <w:pStyle w:val="Text"/>
      </w:pPr>
      <w:r>
        <w:t xml:space="preserve">Multilevel logistic regression results showed that </w:t>
      </w:r>
      <w:r w:rsidR="005044A9">
        <w:t xml:space="preserve">the </w:t>
      </w:r>
      <w:r>
        <w:t>probabilities of attaining a university degree were significantly predicted by family background (</w:t>
      </w:r>
      <w:r w:rsidR="005044A9">
        <w:t>f</w:t>
      </w:r>
      <w:r>
        <w:t xml:space="preserve">igure 4). All else equal, the odds of attaining a university degree were 2.12 times greater for individuals who had a parent with a degree. For every 10 additional points of parental occupational prestige, the odds of obtaining a university degree were 1.11 times greater. For example, the probability of attaining a university degree at age 26 </w:t>
      </w:r>
      <w:r w:rsidR="005044A9">
        <w:t>ye</w:t>
      </w:r>
      <w:r w:rsidR="00BA5A78">
        <w:t>a</w:t>
      </w:r>
      <w:r w:rsidR="005044A9">
        <w:t xml:space="preserve">rs </w:t>
      </w:r>
      <w:r>
        <w:t>was 57% among young people who had parents with a degree and higher occupational prestige but only 28% among young people who had parents with no degree and lower occupational prestige.</w:t>
      </w:r>
    </w:p>
    <w:p w14:paraId="152DAC85" w14:textId="56FE3215" w:rsidR="000F5784" w:rsidRPr="00656207" w:rsidRDefault="000F5784" w:rsidP="00FB751C">
      <w:pPr>
        <w:pStyle w:val="Figuretitle"/>
      </w:pPr>
      <w:bookmarkStart w:id="77" w:name="_Toc19001690"/>
      <w:r w:rsidRPr="00656207">
        <w:t>Figure 4</w:t>
      </w:r>
      <w:r w:rsidR="0078372B">
        <w:tab/>
      </w:r>
      <w:r w:rsidRPr="00656207">
        <w:t xml:space="preserve">Probabilities of </w:t>
      </w:r>
      <w:r w:rsidR="005044A9" w:rsidRPr="00656207">
        <w:t>attaining a bachelor</w:t>
      </w:r>
      <w:r w:rsidR="005044A9">
        <w:t>’</w:t>
      </w:r>
      <w:r w:rsidR="005044A9" w:rsidRPr="00656207">
        <w:t>s or higher degree by parental degree and parental occupational prestige</w:t>
      </w:r>
      <w:bookmarkEnd w:id="77"/>
    </w:p>
    <w:p w14:paraId="1440140E" w14:textId="77777777" w:rsidR="000F5784" w:rsidRPr="00656207" w:rsidRDefault="000F5784" w:rsidP="000F5784">
      <w:pPr>
        <w:spacing w:before="120" w:after="120" w:line="240" w:lineRule="auto"/>
      </w:pPr>
      <w:r w:rsidRPr="00656207">
        <w:rPr>
          <w:noProof/>
        </w:rPr>
        <w:drawing>
          <wp:inline distT="0" distB="0" distL="0" distR="0" wp14:anchorId="12701961" wp14:editId="44F47EF9">
            <wp:extent cx="5180400" cy="2538000"/>
            <wp:effectExtent l="0" t="0" r="127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94E173A" w14:textId="66C62F39" w:rsidR="000F5784" w:rsidRDefault="000F5784" w:rsidP="00E86563">
      <w:pPr>
        <w:pStyle w:val="Source"/>
        <w:ind w:left="0" w:firstLine="0"/>
      </w:pPr>
      <w:r w:rsidRPr="00E86563">
        <w:t>Note</w:t>
      </w:r>
      <w:r w:rsidR="00E86563">
        <w:t>:</w:t>
      </w:r>
      <w:r w:rsidRPr="00656207">
        <w:t xml:space="preserve"> Degree refers to having one or more parents with a bachelor’s or higher degree. Med OP refers to parental occupational prestige at the mean; High OP and Low OP are one standard deviation above and below the mean, respectively. All other variables were held at their means.</w:t>
      </w:r>
    </w:p>
    <w:p w14:paraId="43DE0A79" w14:textId="5A9554F2" w:rsidR="000F5784" w:rsidRDefault="000F5784" w:rsidP="006563EB">
      <w:pPr>
        <w:pStyle w:val="Text"/>
      </w:pPr>
      <w:r>
        <w:t>Family background significantly predicted the level of prestige of graduates’ universities (</w:t>
      </w:r>
      <w:r w:rsidR="000364D1">
        <w:t>t</w:t>
      </w:r>
      <w:r>
        <w:t xml:space="preserve">able </w:t>
      </w:r>
      <w:r w:rsidR="000E2026">
        <w:t>5</w:t>
      </w:r>
      <w:r>
        <w:t>). The odds of getting a university degree from sandstones relative to gumtrees were 1.72 times greater for individuals who had parents with a degree. When other variables were held constant, the odds of getting a degree from other universities relative to gumtrees decreased by 9% if parental occupational prestige was increased by 10 points.</w:t>
      </w:r>
    </w:p>
    <w:p w14:paraId="3844AE48" w14:textId="5EFEC61B" w:rsidR="000F5784" w:rsidRPr="00656207" w:rsidRDefault="000F5784" w:rsidP="00740088">
      <w:pPr>
        <w:pStyle w:val="tabletitle0"/>
        <w:rPr>
          <w:lang w:eastAsia="en-AU"/>
        </w:rPr>
      </w:pPr>
      <w:bookmarkStart w:id="78" w:name="_Toc19001662"/>
      <w:r w:rsidRPr="00656207">
        <w:rPr>
          <w:lang w:eastAsia="en-AU"/>
        </w:rPr>
        <w:lastRenderedPageBreak/>
        <w:t xml:space="preserve">Table </w:t>
      </w:r>
      <w:r w:rsidR="000E2026">
        <w:rPr>
          <w:lang w:eastAsia="en-AU"/>
        </w:rPr>
        <w:t>5</w:t>
      </w:r>
      <w:r w:rsidR="00F900B5">
        <w:rPr>
          <w:lang w:eastAsia="en-AU"/>
        </w:rPr>
        <w:tab/>
      </w:r>
      <w:r w:rsidRPr="00656207">
        <w:rPr>
          <w:lang w:eastAsia="en-AU"/>
        </w:rPr>
        <w:t xml:space="preserve">Family </w:t>
      </w:r>
      <w:r w:rsidR="000364D1" w:rsidRPr="00656207">
        <w:rPr>
          <w:lang w:eastAsia="en-AU"/>
        </w:rPr>
        <w:t xml:space="preserve">background predicting </w:t>
      </w:r>
      <w:r w:rsidR="000364D1" w:rsidRPr="00656207">
        <w:t xml:space="preserve">the </w:t>
      </w:r>
      <w:r w:rsidR="000364D1" w:rsidRPr="00656207">
        <w:rPr>
          <w:lang w:eastAsia="en-AU"/>
        </w:rPr>
        <w:t>selection of universities</w:t>
      </w:r>
      <w:bookmarkEnd w:id="78"/>
      <w:r w:rsidR="000364D1" w:rsidRPr="00656207">
        <w:rPr>
          <w:lang w:eastAsia="en-AU"/>
        </w:rPr>
        <w:t xml:space="preserve">   </w:t>
      </w:r>
    </w:p>
    <w:tbl>
      <w:tblPr>
        <w:tblW w:w="7504" w:type="dxa"/>
        <w:tblBorders>
          <w:top w:val="single" w:sz="4" w:space="0" w:color="auto"/>
          <w:bottom w:val="single" w:sz="4" w:space="0" w:color="auto"/>
        </w:tblBorders>
        <w:tblLayout w:type="fixed"/>
        <w:tblLook w:val="04A0" w:firstRow="1" w:lastRow="0" w:firstColumn="1" w:lastColumn="0" w:noHBand="0" w:noVBand="1"/>
      </w:tblPr>
      <w:tblGrid>
        <w:gridCol w:w="257"/>
        <w:gridCol w:w="2762"/>
        <w:gridCol w:w="1325"/>
        <w:gridCol w:w="254"/>
        <w:gridCol w:w="1325"/>
        <w:gridCol w:w="254"/>
        <w:gridCol w:w="1327"/>
      </w:tblGrid>
      <w:tr w:rsidR="000F5784" w:rsidRPr="00656207" w14:paraId="1D8F4B6D" w14:textId="77777777" w:rsidTr="005C3C9C">
        <w:trPr>
          <w:trHeight w:val="255"/>
        </w:trPr>
        <w:tc>
          <w:tcPr>
            <w:tcW w:w="257" w:type="dxa"/>
            <w:shd w:val="clear" w:color="auto" w:fill="auto"/>
            <w:noWrap/>
          </w:tcPr>
          <w:p w14:paraId="3DDED054" w14:textId="77777777" w:rsidR="000F5784" w:rsidRPr="00656207" w:rsidRDefault="000F5784" w:rsidP="00F900B5">
            <w:pPr>
              <w:pStyle w:val="Tabletext"/>
            </w:pPr>
          </w:p>
        </w:tc>
        <w:tc>
          <w:tcPr>
            <w:tcW w:w="2762" w:type="dxa"/>
            <w:shd w:val="clear" w:color="auto" w:fill="auto"/>
          </w:tcPr>
          <w:p w14:paraId="27EB0DFE" w14:textId="77777777" w:rsidR="000F5784" w:rsidRPr="00656207" w:rsidRDefault="000F5784" w:rsidP="00F900B5">
            <w:pPr>
              <w:pStyle w:val="Tabletext"/>
            </w:pPr>
          </w:p>
        </w:tc>
        <w:tc>
          <w:tcPr>
            <w:tcW w:w="4485" w:type="dxa"/>
            <w:gridSpan w:val="5"/>
            <w:tcBorders>
              <w:top w:val="single" w:sz="4" w:space="0" w:color="auto"/>
              <w:bottom w:val="single" w:sz="4" w:space="0" w:color="auto"/>
            </w:tcBorders>
            <w:shd w:val="clear" w:color="auto" w:fill="auto"/>
          </w:tcPr>
          <w:p w14:paraId="7F849D31" w14:textId="77777777" w:rsidR="000F5784" w:rsidRPr="00183D9F" w:rsidRDefault="000F5784" w:rsidP="00F900B5">
            <w:pPr>
              <w:pStyle w:val="Tabletext"/>
              <w:rPr>
                <w:b/>
              </w:rPr>
            </w:pPr>
            <w:r w:rsidRPr="00183D9F">
              <w:rPr>
                <w:b/>
              </w:rPr>
              <w:t>Odds ratios</w:t>
            </w:r>
          </w:p>
        </w:tc>
      </w:tr>
      <w:tr w:rsidR="000F5784" w:rsidRPr="00656207" w14:paraId="39F5C534" w14:textId="77777777" w:rsidTr="005C3C9C">
        <w:trPr>
          <w:trHeight w:val="255"/>
        </w:trPr>
        <w:tc>
          <w:tcPr>
            <w:tcW w:w="257" w:type="dxa"/>
            <w:shd w:val="clear" w:color="auto" w:fill="auto"/>
            <w:noWrap/>
          </w:tcPr>
          <w:p w14:paraId="1D4D5A5C" w14:textId="77777777" w:rsidR="000F5784" w:rsidRPr="00656207" w:rsidRDefault="000F5784" w:rsidP="00F900B5">
            <w:pPr>
              <w:pStyle w:val="Tabletext"/>
            </w:pPr>
          </w:p>
        </w:tc>
        <w:tc>
          <w:tcPr>
            <w:tcW w:w="2762" w:type="dxa"/>
            <w:shd w:val="clear" w:color="auto" w:fill="auto"/>
          </w:tcPr>
          <w:p w14:paraId="3B903305" w14:textId="77777777" w:rsidR="000F5784" w:rsidRPr="00656207" w:rsidRDefault="000F5784" w:rsidP="00F900B5">
            <w:pPr>
              <w:pStyle w:val="Tabletext"/>
            </w:pPr>
          </w:p>
        </w:tc>
        <w:tc>
          <w:tcPr>
            <w:tcW w:w="1325" w:type="dxa"/>
            <w:tcBorders>
              <w:top w:val="single" w:sz="4" w:space="0" w:color="auto"/>
            </w:tcBorders>
            <w:shd w:val="clear" w:color="auto" w:fill="auto"/>
          </w:tcPr>
          <w:p w14:paraId="2602181E" w14:textId="77777777" w:rsidR="000F5784" w:rsidRPr="00656207" w:rsidRDefault="000F5784" w:rsidP="00F900B5">
            <w:pPr>
              <w:pStyle w:val="Tabletext"/>
            </w:pPr>
            <w:r w:rsidRPr="00656207">
              <w:t>Sandstone</w:t>
            </w:r>
          </w:p>
        </w:tc>
        <w:tc>
          <w:tcPr>
            <w:tcW w:w="254" w:type="dxa"/>
            <w:tcBorders>
              <w:top w:val="single" w:sz="4" w:space="0" w:color="auto"/>
            </w:tcBorders>
            <w:shd w:val="clear" w:color="auto" w:fill="auto"/>
            <w:noWrap/>
          </w:tcPr>
          <w:p w14:paraId="3963ED72" w14:textId="77777777" w:rsidR="000F5784" w:rsidRPr="00656207" w:rsidRDefault="000F5784" w:rsidP="00F900B5">
            <w:pPr>
              <w:pStyle w:val="Tabletext"/>
            </w:pPr>
          </w:p>
        </w:tc>
        <w:tc>
          <w:tcPr>
            <w:tcW w:w="1325" w:type="dxa"/>
            <w:tcBorders>
              <w:top w:val="single" w:sz="4" w:space="0" w:color="auto"/>
            </w:tcBorders>
            <w:shd w:val="clear" w:color="auto" w:fill="auto"/>
          </w:tcPr>
          <w:p w14:paraId="4999113F" w14:textId="77777777" w:rsidR="000F5784" w:rsidRPr="00656207" w:rsidRDefault="000F5784" w:rsidP="00F900B5">
            <w:pPr>
              <w:pStyle w:val="Tabletext"/>
            </w:pPr>
            <w:proofErr w:type="spellStart"/>
            <w:r w:rsidRPr="00656207">
              <w:t>Unitechs</w:t>
            </w:r>
            <w:proofErr w:type="spellEnd"/>
          </w:p>
        </w:tc>
        <w:tc>
          <w:tcPr>
            <w:tcW w:w="254" w:type="dxa"/>
            <w:tcBorders>
              <w:top w:val="single" w:sz="4" w:space="0" w:color="auto"/>
            </w:tcBorders>
            <w:shd w:val="clear" w:color="auto" w:fill="auto"/>
            <w:noWrap/>
          </w:tcPr>
          <w:p w14:paraId="103767C5" w14:textId="77777777" w:rsidR="000F5784" w:rsidRPr="00656207" w:rsidRDefault="000F5784" w:rsidP="00F900B5">
            <w:pPr>
              <w:pStyle w:val="Tabletext"/>
            </w:pPr>
          </w:p>
        </w:tc>
        <w:tc>
          <w:tcPr>
            <w:tcW w:w="1325" w:type="dxa"/>
            <w:tcBorders>
              <w:top w:val="single" w:sz="4" w:space="0" w:color="auto"/>
            </w:tcBorders>
            <w:shd w:val="clear" w:color="auto" w:fill="auto"/>
          </w:tcPr>
          <w:p w14:paraId="3894A7CA" w14:textId="77777777" w:rsidR="000F5784" w:rsidRPr="00656207" w:rsidRDefault="000F5784" w:rsidP="00F900B5">
            <w:pPr>
              <w:pStyle w:val="Tabletext"/>
            </w:pPr>
            <w:r w:rsidRPr="00656207">
              <w:t>Other</w:t>
            </w:r>
          </w:p>
        </w:tc>
      </w:tr>
      <w:tr w:rsidR="000F5784" w:rsidRPr="00656207" w14:paraId="22AD0D64" w14:textId="77777777" w:rsidTr="005C3C9C">
        <w:trPr>
          <w:trHeight w:val="255"/>
        </w:trPr>
        <w:tc>
          <w:tcPr>
            <w:tcW w:w="257" w:type="dxa"/>
            <w:tcBorders>
              <w:bottom w:val="single" w:sz="4" w:space="0" w:color="auto"/>
            </w:tcBorders>
            <w:shd w:val="clear" w:color="auto" w:fill="auto"/>
            <w:noWrap/>
          </w:tcPr>
          <w:p w14:paraId="249B270C" w14:textId="77777777" w:rsidR="000F5784" w:rsidRPr="00656207" w:rsidRDefault="000F5784" w:rsidP="00F900B5">
            <w:pPr>
              <w:pStyle w:val="Tabletext"/>
            </w:pPr>
          </w:p>
        </w:tc>
        <w:tc>
          <w:tcPr>
            <w:tcW w:w="2762" w:type="dxa"/>
            <w:tcBorders>
              <w:bottom w:val="single" w:sz="4" w:space="0" w:color="auto"/>
            </w:tcBorders>
            <w:shd w:val="clear" w:color="auto" w:fill="auto"/>
          </w:tcPr>
          <w:p w14:paraId="6F35B1F3" w14:textId="77777777" w:rsidR="000F5784" w:rsidRPr="00656207" w:rsidRDefault="000F5784" w:rsidP="00F900B5">
            <w:pPr>
              <w:pStyle w:val="Tabletext"/>
            </w:pPr>
          </w:p>
        </w:tc>
        <w:tc>
          <w:tcPr>
            <w:tcW w:w="1325" w:type="dxa"/>
            <w:tcBorders>
              <w:bottom w:val="single" w:sz="4" w:space="0" w:color="auto"/>
            </w:tcBorders>
            <w:shd w:val="clear" w:color="auto" w:fill="auto"/>
          </w:tcPr>
          <w:p w14:paraId="79F8B920" w14:textId="0C5A61C6" w:rsidR="000F5784" w:rsidRPr="00656207" w:rsidRDefault="000F5784" w:rsidP="00F900B5">
            <w:pPr>
              <w:pStyle w:val="Tabletext"/>
            </w:pPr>
            <w:r w:rsidRPr="00656207">
              <w:t>vs Gumtree</w:t>
            </w:r>
          </w:p>
        </w:tc>
        <w:tc>
          <w:tcPr>
            <w:tcW w:w="254" w:type="dxa"/>
            <w:tcBorders>
              <w:bottom w:val="single" w:sz="4" w:space="0" w:color="auto"/>
            </w:tcBorders>
            <w:shd w:val="clear" w:color="auto" w:fill="auto"/>
            <w:noWrap/>
          </w:tcPr>
          <w:p w14:paraId="55E2F896" w14:textId="77777777" w:rsidR="000F5784" w:rsidRPr="00656207" w:rsidRDefault="000F5784" w:rsidP="00F900B5">
            <w:pPr>
              <w:pStyle w:val="Tabletext"/>
            </w:pPr>
          </w:p>
        </w:tc>
        <w:tc>
          <w:tcPr>
            <w:tcW w:w="1325" w:type="dxa"/>
            <w:tcBorders>
              <w:bottom w:val="single" w:sz="4" w:space="0" w:color="auto"/>
            </w:tcBorders>
            <w:shd w:val="clear" w:color="auto" w:fill="auto"/>
          </w:tcPr>
          <w:p w14:paraId="7F6764FC" w14:textId="08992155" w:rsidR="000F5784" w:rsidRPr="00656207" w:rsidRDefault="000F5784" w:rsidP="00F900B5">
            <w:pPr>
              <w:pStyle w:val="Tabletext"/>
            </w:pPr>
            <w:r w:rsidRPr="00656207">
              <w:t>vs Gumtree</w:t>
            </w:r>
          </w:p>
        </w:tc>
        <w:tc>
          <w:tcPr>
            <w:tcW w:w="254" w:type="dxa"/>
            <w:tcBorders>
              <w:bottom w:val="single" w:sz="4" w:space="0" w:color="auto"/>
            </w:tcBorders>
            <w:shd w:val="clear" w:color="auto" w:fill="auto"/>
            <w:noWrap/>
          </w:tcPr>
          <w:p w14:paraId="3C9A173A" w14:textId="77777777" w:rsidR="000F5784" w:rsidRPr="00656207" w:rsidRDefault="000F5784" w:rsidP="00F900B5">
            <w:pPr>
              <w:pStyle w:val="Tabletext"/>
            </w:pPr>
          </w:p>
        </w:tc>
        <w:tc>
          <w:tcPr>
            <w:tcW w:w="1325" w:type="dxa"/>
            <w:tcBorders>
              <w:bottom w:val="single" w:sz="4" w:space="0" w:color="auto"/>
            </w:tcBorders>
            <w:shd w:val="clear" w:color="auto" w:fill="auto"/>
          </w:tcPr>
          <w:p w14:paraId="7E79D353" w14:textId="75AE57D4" w:rsidR="000F5784" w:rsidRPr="00656207" w:rsidRDefault="000F5784" w:rsidP="00F900B5">
            <w:pPr>
              <w:pStyle w:val="Tabletext"/>
            </w:pPr>
            <w:r w:rsidRPr="00656207">
              <w:t>vs Gumtree</w:t>
            </w:r>
          </w:p>
        </w:tc>
      </w:tr>
      <w:tr w:rsidR="000F5784" w:rsidRPr="00656207" w14:paraId="53DCD68E" w14:textId="77777777" w:rsidTr="005C3C9C">
        <w:trPr>
          <w:trHeight w:val="255"/>
        </w:trPr>
        <w:tc>
          <w:tcPr>
            <w:tcW w:w="3019" w:type="dxa"/>
            <w:gridSpan w:val="2"/>
            <w:tcBorders>
              <w:top w:val="single" w:sz="4" w:space="0" w:color="auto"/>
              <w:bottom w:val="nil"/>
            </w:tcBorders>
            <w:shd w:val="clear" w:color="auto" w:fill="auto"/>
            <w:noWrap/>
            <w:hideMark/>
          </w:tcPr>
          <w:p w14:paraId="63E78114" w14:textId="77777777" w:rsidR="000F5784" w:rsidRPr="00656207" w:rsidRDefault="000F5784" w:rsidP="00F900B5">
            <w:pPr>
              <w:pStyle w:val="Tabletext"/>
            </w:pPr>
            <w:r w:rsidRPr="00656207">
              <w:t>Parental occupational prestige</w:t>
            </w:r>
          </w:p>
        </w:tc>
        <w:tc>
          <w:tcPr>
            <w:tcW w:w="1325" w:type="dxa"/>
            <w:tcBorders>
              <w:top w:val="single" w:sz="4" w:space="0" w:color="auto"/>
              <w:bottom w:val="nil"/>
            </w:tcBorders>
            <w:shd w:val="clear" w:color="auto" w:fill="auto"/>
            <w:hideMark/>
          </w:tcPr>
          <w:p w14:paraId="434FCE9B" w14:textId="77777777" w:rsidR="000F5784" w:rsidRPr="00656207" w:rsidRDefault="000F5784" w:rsidP="002B3DE7">
            <w:pPr>
              <w:pStyle w:val="Tabletext"/>
              <w:ind w:right="284"/>
            </w:pPr>
            <w:r w:rsidRPr="00656207">
              <w:t>1.00</w:t>
            </w:r>
          </w:p>
        </w:tc>
        <w:tc>
          <w:tcPr>
            <w:tcW w:w="254" w:type="dxa"/>
            <w:tcBorders>
              <w:top w:val="single" w:sz="4" w:space="0" w:color="auto"/>
              <w:bottom w:val="nil"/>
            </w:tcBorders>
            <w:shd w:val="clear" w:color="auto" w:fill="auto"/>
            <w:hideMark/>
          </w:tcPr>
          <w:p w14:paraId="67B5F130" w14:textId="77777777" w:rsidR="000F5784" w:rsidRPr="00656207" w:rsidRDefault="000F5784" w:rsidP="002B3DE7">
            <w:pPr>
              <w:pStyle w:val="Tabletext"/>
              <w:ind w:right="284"/>
            </w:pPr>
          </w:p>
        </w:tc>
        <w:tc>
          <w:tcPr>
            <w:tcW w:w="1325" w:type="dxa"/>
            <w:tcBorders>
              <w:top w:val="single" w:sz="4" w:space="0" w:color="auto"/>
              <w:bottom w:val="nil"/>
            </w:tcBorders>
            <w:shd w:val="clear" w:color="auto" w:fill="auto"/>
            <w:hideMark/>
          </w:tcPr>
          <w:p w14:paraId="49F2B952" w14:textId="77777777" w:rsidR="000F5784" w:rsidRPr="00656207" w:rsidRDefault="000F5784" w:rsidP="002B3DE7">
            <w:pPr>
              <w:pStyle w:val="Tabletext"/>
              <w:ind w:right="284"/>
            </w:pPr>
            <w:r w:rsidRPr="00656207">
              <w:t>1.00</w:t>
            </w:r>
          </w:p>
        </w:tc>
        <w:tc>
          <w:tcPr>
            <w:tcW w:w="254" w:type="dxa"/>
            <w:tcBorders>
              <w:top w:val="single" w:sz="4" w:space="0" w:color="auto"/>
              <w:bottom w:val="nil"/>
            </w:tcBorders>
            <w:shd w:val="clear" w:color="auto" w:fill="auto"/>
            <w:hideMark/>
          </w:tcPr>
          <w:p w14:paraId="7FBC546E" w14:textId="77777777" w:rsidR="000F5784" w:rsidRPr="00656207" w:rsidRDefault="000F5784" w:rsidP="002B3DE7">
            <w:pPr>
              <w:pStyle w:val="Tabletext"/>
              <w:ind w:right="284"/>
            </w:pPr>
          </w:p>
        </w:tc>
        <w:tc>
          <w:tcPr>
            <w:tcW w:w="1325" w:type="dxa"/>
            <w:tcBorders>
              <w:top w:val="single" w:sz="4" w:space="0" w:color="auto"/>
              <w:bottom w:val="nil"/>
            </w:tcBorders>
            <w:shd w:val="clear" w:color="auto" w:fill="auto"/>
            <w:hideMark/>
          </w:tcPr>
          <w:p w14:paraId="76FFF166" w14:textId="77777777" w:rsidR="000F5784" w:rsidRPr="00656207" w:rsidRDefault="000F5784" w:rsidP="002B3DE7">
            <w:pPr>
              <w:pStyle w:val="Tabletext"/>
              <w:ind w:right="284"/>
            </w:pPr>
            <w:r w:rsidRPr="00656207">
              <w:t>0.99</w:t>
            </w:r>
            <w:r w:rsidRPr="00656207">
              <w:rPr>
                <w:vertAlign w:val="superscript"/>
              </w:rPr>
              <w:t>*</w:t>
            </w:r>
          </w:p>
        </w:tc>
      </w:tr>
      <w:tr w:rsidR="000F5784" w:rsidRPr="00656207" w14:paraId="3B7F92AB" w14:textId="77777777" w:rsidTr="005C3C9C">
        <w:trPr>
          <w:trHeight w:val="255"/>
        </w:trPr>
        <w:tc>
          <w:tcPr>
            <w:tcW w:w="3019" w:type="dxa"/>
            <w:gridSpan w:val="2"/>
            <w:tcBorders>
              <w:top w:val="nil"/>
              <w:left w:val="nil"/>
              <w:bottom w:val="single" w:sz="4" w:space="0" w:color="auto"/>
              <w:right w:val="nil"/>
            </w:tcBorders>
            <w:shd w:val="clear" w:color="auto" w:fill="auto"/>
            <w:noWrap/>
            <w:hideMark/>
          </w:tcPr>
          <w:p w14:paraId="5A1FF334" w14:textId="77777777" w:rsidR="000F5784" w:rsidRPr="00656207" w:rsidRDefault="000F5784" w:rsidP="00F900B5">
            <w:pPr>
              <w:pStyle w:val="Tabletext"/>
            </w:pPr>
            <w:r w:rsidRPr="00656207">
              <w:t>Parental university degree</w:t>
            </w:r>
          </w:p>
        </w:tc>
        <w:tc>
          <w:tcPr>
            <w:tcW w:w="1325" w:type="dxa"/>
            <w:tcBorders>
              <w:top w:val="nil"/>
              <w:left w:val="nil"/>
              <w:bottom w:val="single" w:sz="4" w:space="0" w:color="auto"/>
              <w:right w:val="nil"/>
            </w:tcBorders>
            <w:shd w:val="clear" w:color="auto" w:fill="auto"/>
            <w:hideMark/>
          </w:tcPr>
          <w:p w14:paraId="16C20821" w14:textId="77777777" w:rsidR="000F5784" w:rsidRPr="00656207" w:rsidRDefault="000F5784" w:rsidP="002B3DE7">
            <w:pPr>
              <w:pStyle w:val="Tabletext"/>
              <w:ind w:right="284"/>
            </w:pPr>
            <w:r w:rsidRPr="00656207">
              <w:t>1.72</w:t>
            </w:r>
            <w:r w:rsidRPr="00656207">
              <w:rPr>
                <w:vertAlign w:val="superscript"/>
              </w:rPr>
              <w:t>***</w:t>
            </w:r>
          </w:p>
        </w:tc>
        <w:tc>
          <w:tcPr>
            <w:tcW w:w="254" w:type="dxa"/>
            <w:tcBorders>
              <w:top w:val="nil"/>
              <w:left w:val="nil"/>
              <w:bottom w:val="single" w:sz="4" w:space="0" w:color="auto"/>
              <w:right w:val="nil"/>
            </w:tcBorders>
            <w:shd w:val="clear" w:color="auto" w:fill="auto"/>
            <w:hideMark/>
          </w:tcPr>
          <w:p w14:paraId="2CBEA598" w14:textId="77777777" w:rsidR="000F5784" w:rsidRPr="00656207" w:rsidRDefault="000F5784" w:rsidP="002B3DE7">
            <w:pPr>
              <w:pStyle w:val="Tabletext"/>
              <w:ind w:right="284"/>
            </w:pPr>
          </w:p>
        </w:tc>
        <w:tc>
          <w:tcPr>
            <w:tcW w:w="1325" w:type="dxa"/>
            <w:tcBorders>
              <w:top w:val="nil"/>
              <w:left w:val="nil"/>
              <w:bottom w:val="single" w:sz="4" w:space="0" w:color="auto"/>
              <w:right w:val="nil"/>
            </w:tcBorders>
            <w:shd w:val="clear" w:color="auto" w:fill="auto"/>
            <w:hideMark/>
          </w:tcPr>
          <w:p w14:paraId="28E37643" w14:textId="77777777" w:rsidR="000F5784" w:rsidRPr="00656207" w:rsidRDefault="000F5784" w:rsidP="002B3DE7">
            <w:pPr>
              <w:pStyle w:val="Tabletext"/>
              <w:ind w:right="284"/>
            </w:pPr>
            <w:r w:rsidRPr="00656207">
              <w:t>0.97</w:t>
            </w:r>
          </w:p>
        </w:tc>
        <w:tc>
          <w:tcPr>
            <w:tcW w:w="254" w:type="dxa"/>
            <w:tcBorders>
              <w:top w:val="nil"/>
              <w:left w:val="nil"/>
              <w:bottom w:val="single" w:sz="4" w:space="0" w:color="auto"/>
              <w:right w:val="nil"/>
            </w:tcBorders>
            <w:shd w:val="clear" w:color="auto" w:fill="auto"/>
            <w:hideMark/>
          </w:tcPr>
          <w:p w14:paraId="393CAB1A" w14:textId="77777777" w:rsidR="000F5784" w:rsidRPr="00656207" w:rsidRDefault="000F5784" w:rsidP="002B3DE7">
            <w:pPr>
              <w:pStyle w:val="Tabletext"/>
              <w:ind w:right="284"/>
            </w:pPr>
          </w:p>
        </w:tc>
        <w:tc>
          <w:tcPr>
            <w:tcW w:w="1325" w:type="dxa"/>
            <w:tcBorders>
              <w:top w:val="nil"/>
              <w:left w:val="nil"/>
              <w:bottom w:val="single" w:sz="4" w:space="0" w:color="auto"/>
              <w:right w:val="nil"/>
            </w:tcBorders>
            <w:shd w:val="clear" w:color="auto" w:fill="auto"/>
            <w:hideMark/>
          </w:tcPr>
          <w:p w14:paraId="677CD837" w14:textId="77777777" w:rsidR="000F5784" w:rsidRPr="00656207" w:rsidRDefault="000F5784" w:rsidP="002B3DE7">
            <w:pPr>
              <w:pStyle w:val="Tabletext"/>
              <w:ind w:right="284"/>
            </w:pPr>
            <w:r w:rsidRPr="00656207">
              <w:t>1.02</w:t>
            </w:r>
          </w:p>
        </w:tc>
      </w:tr>
    </w:tbl>
    <w:p w14:paraId="282A780C" w14:textId="5D59F55D" w:rsidR="000F5784" w:rsidRPr="00656207" w:rsidRDefault="000F5784" w:rsidP="00E86563">
      <w:pPr>
        <w:pStyle w:val="Source"/>
        <w:rPr>
          <w:color w:val="000000"/>
          <w:lang w:eastAsia="en-AU"/>
        </w:rPr>
      </w:pPr>
      <w:r w:rsidRPr="00E86563">
        <w:rPr>
          <w:color w:val="000000"/>
          <w:lang w:eastAsia="en-AU"/>
        </w:rPr>
        <w:t>Note</w:t>
      </w:r>
      <w:r w:rsidR="00E86563" w:rsidRPr="00E86563">
        <w:rPr>
          <w:color w:val="000000"/>
          <w:lang w:eastAsia="en-AU"/>
        </w:rPr>
        <w:t>:</w:t>
      </w:r>
      <w:r w:rsidRPr="00656207">
        <w:rPr>
          <w:color w:val="000000"/>
          <w:lang w:eastAsia="en-AU"/>
        </w:rPr>
        <w:t xml:space="preserve"> </w:t>
      </w:r>
      <w:r w:rsidRPr="00656207">
        <w:rPr>
          <w:vertAlign w:val="superscript"/>
        </w:rPr>
        <w:t>*</w:t>
      </w:r>
      <w:r w:rsidRPr="00656207">
        <w:t xml:space="preserve"> </w:t>
      </w:r>
      <w:r w:rsidRPr="00656207">
        <w:rPr>
          <w:i/>
        </w:rPr>
        <w:t>p</w:t>
      </w:r>
      <w:r w:rsidRPr="00656207">
        <w:t xml:space="preserve"> &lt; .05, </w:t>
      </w:r>
      <w:r w:rsidRPr="00656207">
        <w:rPr>
          <w:vertAlign w:val="superscript"/>
        </w:rPr>
        <w:t>***</w:t>
      </w:r>
      <w:r w:rsidRPr="00656207">
        <w:t xml:space="preserve"> </w:t>
      </w:r>
      <w:r w:rsidRPr="00656207">
        <w:rPr>
          <w:i/>
        </w:rPr>
        <w:t>p</w:t>
      </w:r>
      <w:r w:rsidRPr="00656207">
        <w:t xml:space="preserve"> &lt; .001</w:t>
      </w:r>
      <w:r w:rsidR="000364D1">
        <w:t>.</w:t>
      </w:r>
    </w:p>
    <w:p w14:paraId="004C3A9B" w14:textId="7CE4F660" w:rsidR="000F5784" w:rsidRDefault="000F5784" w:rsidP="006563EB">
      <w:pPr>
        <w:pStyle w:val="Text"/>
      </w:pPr>
      <w:r>
        <w:t>Fields of study did not differ significantly by family background, except for one (</w:t>
      </w:r>
      <w:r w:rsidR="000364D1">
        <w:t>t</w:t>
      </w:r>
      <w:r>
        <w:t xml:space="preserve">able </w:t>
      </w:r>
      <w:r w:rsidR="000E2026">
        <w:t>6</w:t>
      </w:r>
      <w:r>
        <w:t xml:space="preserve">). The odds of majoring in other areas relative to arts/humanities/social sciences were 40% lower for young people who had parents with a degree. </w:t>
      </w:r>
      <w:r w:rsidR="00BB2704">
        <w:t>The ‘o</w:t>
      </w:r>
      <w:r>
        <w:t>ther</w:t>
      </w:r>
      <w:r w:rsidR="00BB2704">
        <w:t>’</w:t>
      </w:r>
      <w:r>
        <w:t xml:space="preserve"> category includes many different disciplines, and this makes an interpretation of this result difficult.</w:t>
      </w:r>
    </w:p>
    <w:p w14:paraId="07710269" w14:textId="1E74ED29" w:rsidR="000F5784" w:rsidRPr="00F6541A" w:rsidRDefault="000F5784" w:rsidP="00740088">
      <w:pPr>
        <w:pStyle w:val="tabletitle0"/>
        <w:rPr>
          <w:rFonts w:eastAsia="Malgun Gothic"/>
          <w:lang w:eastAsia="ko-KR"/>
        </w:rPr>
      </w:pPr>
      <w:bookmarkStart w:id="79" w:name="_Toc19001663"/>
      <w:r w:rsidRPr="00F6541A">
        <w:rPr>
          <w:lang w:eastAsia="en-AU"/>
        </w:rPr>
        <w:t xml:space="preserve">Table </w:t>
      </w:r>
      <w:r w:rsidR="000E2026">
        <w:rPr>
          <w:lang w:eastAsia="en-AU"/>
        </w:rPr>
        <w:t>6</w:t>
      </w:r>
      <w:r w:rsidRPr="00F6541A">
        <w:rPr>
          <w:lang w:eastAsia="en-AU"/>
        </w:rPr>
        <w:tab/>
        <w:t xml:space="preserve">Family </w:t>
      </w:r>
      <w:r w:rsidR="000364D1" w:rsidRPr="00F6541A">
        <w:rPr>
          <w:lang w:eastAsia="en-AU"/>
        </w:rPr>
        <w:t>background predicting</w:t>
      </w:r>
      <w:r w:rsidR="000364D1" w:rsidRPr="00F6541A">
        <w:rPr>
          <w:rFonts w:eastAsia="Malgun Gothic"/>
          <w:lang w:eastAsia="ko-KR"/>
        </w:rPr>
        <w:t xml:space="preserve"> fields of study</w:t>
      </w:r>
      <w:bookmarkEnd w:id="79"/>
    </w:p>
    <w:tbl>
      <w:tblPr>
        <w:tblW w:w="7689" w:type="dxa"/>
        <w:tblBorders>
          <w:top w:val="single" w:sz="4" w:space="0" w:color="auto"/>
          <w:bottom w:val="single" w:sz="4" w:space="0" w:color="auto"/>
        </w:tblBorders>
        <w:tblLayout w:type="fixed"/>
        <w:tblLook w:val="04A0" w:firstRow="1" w:lastRow="0" w:firstColumn="1" w:lastColumn="0" w:noHBand="0" w:noVBand="1"/>
      </w:tblPr>
      <w:tblGrid>
        <w:gridCol w:w="241"/>
        <w:gridCol w:w="2203"/>
        <w:gridCol w:w="1134"/>
        <w:gridCol w:w="425"/>
        <w:gridCol w:w="992"/>
        <w:gridCol w:w="426"/>
        <w:gridCol w:w="992"/>
        <w:gridCol w:w="283"/>
        <w:gridCol w:w="993"/>
      </w:tblGrid>
      <w:tr w:rsidR="000F5784" w:rsidRPr="00F6541A" w14:paraId="6F236C80" w14:textId="77777777" w:rsidTr="005C3C9C">
        <w:trPr>
          <w:trHeight w:val="281"/>
        </w:trPr>
        <w:tc>
          <w:tcPr>
            <w:tcW w:w="241" w:type="dxa"/>
            <w:shd w:val="clear" w:color="auto" w:fill="auto"/>
            <w:noWrap/>
          </w:tcPr>
          <w:p w14:paraId="15762F2B" w14:textId="77777777" w:rsidR="000F5784" w:rsidRPr="00F6541A" w:rsidRDefault="000F5784" w:rsidP="00F900B5">
            <w:pPr>
              <w:pStyle w:val="Tabletext"/>
              <w:rPr>
                <w:lang w:eastAsia="ko-KR"/>
              </w:rPr>
            </w:pPr>
          </w:p>
        </w:tc>
        <w:tc>
          <w:tcPr>
            <w:tcW w:w="2203" w:type="dxa"/>
            <w:shd w:val="clear" w:color="auto" w:fill="auto"/>
          </w:tcPr>
          <w:p w14:paraId="71FC4F3D" w14:textId="77777777" w:rsidR="000F5784" w:rsidRPr="00F6541A" w:rsidRDefault="000F5784" w:rsidP="00F900B5">
            <w:pPr>
              <w:pStyle w:val="Tabletext"/>
              <w:rPr>
                <w:lang w:eastAsia="ko-KR"/>
              </w:rPr>
            </w:pPr>
          </w:p>
        </w:tc>
        <w:tc>
          <w:tcPr>
            <w:tcW w:w="5245" w:type="dxa"/>
            <w:gridSpan w:val="7"/>
            <w:tcBorders>
              <w:top w:val="single" w:sz="4" w:space="0" w:color="auto"/>
              <w:bottom w:val="single" w:sz="4" w:space="0" w:color="auto"/>
            </w:tcBorders>
            <w:shd w:val="clear" w:color="auto" w:fill="auto"/>
          </w:tcPr>
          <w:p w14:paraId="7778C4D1" w14:textId="77777777" w:rsidR="000F5784" w:rsidRPr="00183D9F" w:rsidRDefault="000F5784" w:rsidP="00F900B5">
            <w:pPr>
              <w:pStyle w:val="Tabletext"/>
              <w:rPr>
                <w:b/>
                <w:lang w:eastAsia="ko-KR"/>
              </w:rPr>
            </w:pPr>
            <w:r w:rsidRPr="00183D9F">
              <w:rPr>
                <w:b/>
                <w:lang w:eastAsia="ko-KR"/>
              </w:rPr>
              <w:t>Odds ratios</w:t>
            </w:r>
          </w:p>
        </w:tc>
      </w:tr>
      <w:tr w:rsidR="000F5784" w:rsidRPr="00F6541A" w14:paraId="42BE6B8B" w14:textId="77777777" w:rsidTr="005C3C9C">
        <w:trPr>
          <w:trHeight w:val="281"/>
        </w:trPr>
        <w:tc>
          <w:tcPr>
            <w:tcW w:w="241" w:type="dxa"/>
            <w:shd w:val="clear" w:color="auto" w:fill="auto"/>
            <w:noWrap/>
          </w:tcPr>
          <w:p w14:paraId="3D065DF7" w14:textId="77777777" w:rsidR="000F5784" w:rsidRPr="00F6541A" w:rsidRDefault="000F5784" w:rsidP="00F900B5">
            <w:pPr>
              <w:pStyle w:val="Tabletext"/>
              <w:rPr>
                <w:lang w:eastAsia="ko-KR"/>
              </w:rPr>
            </w:pPr>
          </w:p>
        </w:tc>
        <w:tc>
          <w:tcPr>
            <w:tcW w:w="2203" w:type="dxa"/>
            <w:shd w:val="clear" w:color="auto" w:fill="auto"/>
          </w:tcPr>
          <w:p w14:paraId="384FA320" w14:textId="77777777" w:rsidR="000F5784" w:rsidRPr="00F6541A" w:rsidRDefault="000F5784" w:rsidP="00F900B5">
            <w:pPr>
              <w:pStyle w:val="Tabletext"/>
              <w:rPr>
                <w:lang w:eastAsia="ko-KR"/>
              </w:rPr>
            </w:pPr>
          </w:p>
        </w:tc>
        <w:tc>
          <w:tcPr>
            <w:tcW w:w="1134" w:type="dxa"/>
            <w:tcBorders>
              <w:top w:val="single" w:sz="4" w:space="0" w:color="auto"/>
            </w:tcBorders>
            <w:shd w:val="clear" w:color="auto" w:fill="auto"/>
          </w:tcPr>
          <w:p w14:paraId="6231C6A8" w14:textId="77777777" w:rsidR="000F5784" w:rsidRPr="00F6541A" w:rsidRDefault="000F5784" w:rsidP="00F900B5">
            <w:pPr>
              <w:pStyle w:val="Tabletext"/>
              <w:rPr>
                <w:lang w:eastAsia="ko-KR"/>
              </w:rPr>
            </w:pPr>
            <w:r w:rsidRPr="00F6541A">
              <w:rPr>
                <w:lang w:eastAsia="ko-KR"/>
              </w:rPr>
              <w:t>Engineering</w:t>
            </w:r>
          </w:p>
        </w:tc>
        <w:tc>
          <w:tcPr>
            <w:tcW w:w="425" w:type="dxa"/>
            <w:tcBorders>
              <w:top w:val="single" w:sz="4" w:space="0" w:color="auto"/>
            </w:tcBorders>
            <w:shd w:val="clear" w:color="auto" w:fill="auto"/>
            <w:noWrap/>
          </w:tcPr>
          <w:p w14:paraId="2A9F188A" w14:textId="77777777" w:rsidR="000F5784" w:rsidRPr="00F6541A" w:rsidRDefault="000F5784" w:rsidP="00F900B5">
            <w:pPr>
              <w:pStyle w:val="Tabletext"/>
              <w:rPr>
                <w:lang w:eastAsia="ko-KR"/>
              </w:rPr>
            </w:pPr>
          </w:p>
        </w:tc>
        <w:tc>
          <w:tcPr>
            <w:tcW w:w="992" w:type="dxa"/>
            <w:tcBorders>
              <w:top w:val="single" w:sz="4" w:space="0" w:color="auto"/>
            </w:tcBorders>
            <w:shd w:val="clear" w:color="auto" w:fill="auto"/>
          </w:tcPr>
          <w:p w14:paraId="347D2320" w14:textId="77777777" w:rsidR="000F5784" w:rsidRPr="00F6541A" w:rsidRDefault="000F5784" w:rsidP="00F900B5">
            <w:pPr>
              <w:pStyle w:val="Tabletext"/>
              <w:rPr>
                <w:lang w:eastAsia="ko-KR"/>
              </w:rPr>
            </w:pPr>
            <w:r w:rsidRPr="00F6541A">
              <w:rPr>
                <w:lang w:eastAsia="ko-KR"/>
              </w:rPr>
              <w:t>Business</w:t>
            </w:r>
          </w:p>
        </w:tc>
        <w:tc>
          <w:tcPr>
            <w:tcW w:w="426" w:type="dxa"/>
            <w:tcBorders>
              <w:top w:val="single" w:sz="4" w:space="0" w:color="auto"/>
            </w:tcBorders>
            <w:shd w:val="clear" w:color="auto" w:fill="auto"/>
            <w:noWrap/>
          </w:tcPr>
          <w:p w14:paraId="3FB956EB" w14:textId="77777777" w:rsidR="000F5784" w:rsidRPr="00F6541A" w:rsidRDefault="000F5784" w:rsidP="00F900B5">
            <w:pPr>
              <w:pStyle w:val="Tabletext"/>
              <w:rPr>
                <w:lang w:eastAsia="ko-KR"/>
              </w:rPr>
            </w:pPr>
          </w:p>
        </w:tc>
        <w:tc>
          <w:tcPr>
            <w:tcW w:w="992" w:type="dxa"/>
            <w:tcBorders>
              <w:top w:val="single" w:sz="4" w:space="0" w:color="auto"/>
            </w:tcBorders>
            <w:shd w:val="clear" w:color="auto" w:fill="auto"/>
          </w:tcPr>
          <w:p w14:paraId="44485C79" w14:textId="77777777" w:rsidR="000F5784" w:rsidRPr="00F6541A" w:rsidRDefault="000F5784" w:rsidP="00F900B5">
            <w:pPr>
              <w:pStyle w:val="Tabletext"/>
              <w:rPr>
                <w:lang w:eastAsia="ko-KR"/>
              </w:rPr>
            </w:pPr>
            <w:r w:rsidRPr="00F6541A">
              <w:rPr>
                <w:lang w:eastAsia="ko-KR"/>
              </w:rPr>
              <w:t>Health</w:t>
            </w:r>
          </w:p>
        </w:tc>
        <w:tc>
          <w:tcPr>
            <w:tcW w:w="283" w:type="dxa"/>
            <w:tcBorders>
              <w:top w:val="single" w:sz="4" w:space="0" w:color="auto"/>
            </w:tcBorders>
            <w:shd w:val="clear" w:color="auto" w:fill="auto"/>
            <w:noWrap/>
          </w:tcPr>
          <w:p w14:paraId="27106566" w14:textId="77777777" w:rsidR="000F5784" w:rsidRPr="00F6541A" w:rsidRDefault="000F5784" w:rsidP="00F900B5">
            <w:pPr>
              <w:pStyle w:val="Tabletext"/>
              <w:rPr>
                <w:lang w:eastAsia="ko-KR"/>
              </w:rPr>
            </w:pPr>
          </w:p>
        </w:tc>
        <w:tc>
          <w:tcPr>
            <w:tcW w:w="993" w:type="dxa"/>
            <w:tcBorders>
              <w:top w:val="single" w:sz="4" w:space="0" w:color="auto"/>
            </w:tcBorders>
            <w:shd w:val="clear" w:color="auto" w:fill="auto"/>
          </w:tcPr>
          <w:p w14:paraId="3B0ED2EC" w14:textId="77777777" w:rsidR="000F5784" w:rsidRPr="00F6541A" w:rsidRDefault="000F5784" w:rsidP="00F900B5">
            <w:pPr>
              <w:pStyle w:val="Tabletext"/>
              <w:rPr>
                <w:lang w:eastAsia="ko-KR"/>
              </w:rPr>
            </w:pPr>
            <w:r w:rsidRPr="00F6541A">
              <w:rPr>
                <w:lang w:eastAsia="ko-KR"/>
              </w:rPr>
              <w:t>Other</w:t>
            </w:r>
          </w:p>
        </w:tc>
      </w:tr>
      <w:tr w:rsidR="000F5784" w:rsidRPr="00F6541A" w14:paraId="1114C154" w14:textId="77777777" w:rsidTr="005C3C9C">
        <w:trPr>
          <w:trHeight w:val="281"/>
        </w:trPr>
        <w:tc>
          <w:tcPr>
            <w:tcW w:w="241" w:type="dxa"/>
            <w:tcBorders>
              <w:bottom w:val="single" w:sz="4" w:space="0" w:color="auto"/>
            </w:tcBorders>
            <w:shd w:val="clear" w:color="auto" w:fill="auto"/>
            <w:noWrap/>
          </w:tcPr>
          <w:p w14:paraId="1E309C19" w14:textId="77777777" w:rsidR="000F5784" w:rsidRPr="00F6541A" w:rsidRDefault="000F5784" w:rsidP="00F900B5">
            <w:pPr>
              <w:pStyle w:val="Tabletext"/>
              <w:rPr>
                <w:lang w:eastAsia="ko-KR"/>
              </w:rPr>
            </w:pPr>
          </w:p>
        </w:tc>
        <w:tc>
          <w:tcPr>
            <w:tcW w:w="2203" w:type="dxa"/>
            <w:tcBorders>
              <w:bottom w:val="single" w:sz="4" w:space="0" w:color="auto"/>
            </w:tcBorders>
            <w:shd w:val="clear" w:color="auto" w:fill="auto"/>
          </w:tcPr>
          <w:p w14:paraId="49E13470" w14:textId="77777777" w:rsidR="000F5784" w:rsidRPr="00F6541A" w:rsidRDefault="000F5784" w:rsidP="00F900B5">
            <w:pPr>
              <w:pStyle w:val="Tabletext"/>
              <w:rPr>
                <w:lang w:eastAsia="ko-KR"/>
              </w:rPr>
            </w:pPr>
          </w:p>
        </w:tc>
        <w:tc>
          <w:tcPr>
            <w:tcW w:w="1134" w:type="dxa"/>
            <w:tcBorders>
              <w:bottom w:val="single" w:sz="4" w:space="0" w:color="auto"/>
            </w:tcBorders>
            <w:shd w:val="clear" w:color="auto" w:fill="auto"/>
          </w:tcPr>
          <w:p w14:paraId="5FA57FDB" w14:textId="77777777" w:rsidR="000F5784" w:rsidRPr="00F6541A" w:rsidRDefault="000F5784" w:rsidP="00F900B5">
            <w:pPr>
              <w:pStyle w:val="Tabletext"/>
              <w:rPr>
                <w:lang w:eastAsia="ko-KR"/>
              </w:rPr>
            </w:pPr>
            <w:r w:rsidRPr="00F6541A">
              <w:rPr>
                <w:lang w:eastAsia="ko-KR"/>
              </w:rPr>
              <w:t>vs. AHSS</w:t>
            </w:r>
          </w:p>
        </w:tc>
        <w:tc>
          <w:tcPr>
            <w:tcW w:w="425" w:type="dxa"/>
            <w:tcBorders>
              <w:bottom w:val="single" w:sz="4" w:space="0" w:color="auto"/>
            </w:tcBorders>
            <w:shd w:val="clear" w:color="auto" w:fill="auto"/>
            <w:noWrap/>
          </w:tcPr>
          <w:p w14:paraId="6B26E639" w14:textId="77777777" w:rsidR="000F5784" w:rsidRPr="00F6541A" w:rsidRDefault="000F5784" w:rsidP="00F900B5">
            <w:pPr>
              <w:pStyle w:val="Tabletext"/>
              <w:rPr>
                <w:lang w:eastAsia="ko-KR"/>
              </w:rPr>
            </w:pPr>
          </w:p>
        </w:tc>
        <w:tc>
          <w:tcPr>
            <w:tcW w:w="992" w:type="dxa"/>
            <w:tcBorders>
              <w:bottom w:val="single" w:sz="4" w:space="0" w:color="auto"/>
            </w:tcBorders>
            <w:shd w:val="clear" w:color="auto" w:fill="auto"/>
          </w:tcPr>
          <w:p w14:paraId="4E5B079A" w14:textId="77777777" w:rsidR="000F5784" w:rsidRPr="00F6541A" w:rsidRDefault="000F5784" w:rsidP="00F900B5">
            <w:pPr>
              <w:pStyle w:val="Tabletext"/>
              <w:rPr>
                <w:lang w:eastAsia="ko-KR"/>
              </w:rPr>
            </w:pPr>
            <w:r w:rsidRPr="00F6541A">
              <w:rPr>
                <w:lang w:eastAsia="ko-KR"/>
              </w:rPr>
              <w:t>vs. AHSS</w:t>
            </w:r>
          </w:p>
        </w:tc>
        <w:tc>
          <w:tcPr>
            <w:tcW w:w="426" w:type="dxa"/>
            <w:tcBorders>
              <w:bottom w:val="single" w:sz="4" w:space="0" w:color="auto"/>
            </w:tcBorders>
            <w:shd w:val="clear" w:color="auto" w:fill="auto"/>
            <w:noWrap/>
          </w:tcPr>
          <w:p w14:paraId="153F7232" w14:textId="77777777" w:rsidR="000F5784" w:rsidRPr="00F6541A" w:rsidRDefault="000F5784" w:rsidP="00F900B5">
            <w:pPr>
              <w:pStyle w:val="Tabletext"/>
              <w:rPr>
                <w:lang w:eastAsia="ko-KR"/>
              </w:rPr>
            </w:pPr>
          </w:p>
        </w:tc>
        <w:tc>
          <w:tcPr>
            <w:tcW w:w="992" w:type="dxa"/>
            <w:tcBorders>
              <w:bottom w:val="single" w:sz="4" w:space="0" w:color="auto"/>
            </w:tcBorders>
            <w:shd w:val="clear" w:color="auto" w:fill="auto"/>
          </w:tcPr>
          <w:p w14:paraId="3E0C9413" w14:textId="77777777" w:rsidR="000F5784" w:rsidRPr="00F6541A" w:rsidRDefault="000F5784" w:rsidP="00F900B5">
            <w:pPr>
              <w:pStyle w:val="Tabletext"/>
              <w:rPr>
                <w:lang w:eastAsia="ko-KR"/>
              </w:rPr>
            </w:pPr>
            <w:r w:rsidRPr="00F6541A">
              <w:rPr>
                <w:lang w:eastAsia="ko-KR"/>
              </w:rPr>
              <w:t>vs. AHSS</w:t>
            </w:r>
          </w:p>
        </w:tc>
        <w:tc>
          <w:tcPr>
            <w:tcW w:w="283" w:type="dxa"/>
            <w:tcBorders>
              <w:bottom w:val="single" w:sz="4" w:space="0" w:color="auto"/>
            </w:tcBorders>
            <w:shd w:val="clear" w:color="auto" w:fill="auto"/>
            <w:noWrap/>
          </w:tcPr>
          <w:p w14:paraId="03996151" w14:textId="77777777" w:rsidR="000F5784" w:rsidRPr="00F6541A" w:rsidRDefault="000F5784" w:rsidP="00F900B5">
            <w:pPr>
              <w:pStyle w:val="Tabletext"/>
              <w:rPr>
                <w:lang w:eastAsia="ko-KR"/>
              </w:rPr>
            </w:pPr>
          </w:p>
        </w:tc>
        <w:tc>
          <w:tcPr>
            <w:tcW w:w="993" w:type="dxa"/>
            <w:tcBorders>
              <w:bottom w:val="single" w:sz="4" w:space="0" w:color="auto"/>
            </w:tcBorders>
            <w:shd w:val="clear" w:color="auto" w:fill="auto"/>
          </w:tcPr>
          <w:p w14:paraId="2E370DAF" w14:textId="77777777" w:rsidR="000F5784" w:rsidRPr="00F6541A" w:rsidRDefault="000F5784" w:rsidP="00F900B5">
            <w:pPr>
              <w:pStyle w:val="Tabletext"/>
              <w:rPr>
                <w:lang w:eastAsia="ko-KR"/>
              </w:rPr>
            </w:pPr>
            <w:r w:rsidRPr="00F6541A">
              <w:rPr>
                <w:lang w:eastAsia="ko-KR"/>
              </w:rPr>
              <w:t>vs. AHSS</w:t>
            </w:r>
          </w:p>
        </w:tc>
      </w:tr>
      <w:tr w:rsidR="000F5784" w:rsidRPr="00F6541A" w14:paraId="38CE8939" w14:textId="77777777" w:rsidTr="005C3C9C">
        <w:trPr>
          <w:trHeight w:val="281"/>
        </w:trPr>
        <w:tc>
          <w:tcPr>
            <w:tcW w:w="2444" w:type="dxa"/>
            <w:gridSpan w:val="2"/>
            <w:tcBorders>
              <w:top w:val="single" w:sz="4" w:space="0" w:color="auto"/>
              <w:bottom w:val="nil"/>
            </w:tcBorders>
            <w:shd w:val="clear" w:color="auto" w:fill="auto"/>
            <w:noWrap/>
            <w:hideMark/>
          </w:tcPr>
          <w:p w14:paraId="64496351" w14:textId="77777777" w:rsidR="000F5784" w:rsidRPr="00F6541A" w:rsidRDefault="000F5784" w:rsidP="00F900B5">
            <w:pPr>
              <w:pStyle w:val="Tabletext"/>
              <w:rPr>
                <w:lang w:eastAsia="ko-KR"/>
              </w:rPr>
            </w:pPr>
            <w:r w:rsidRPr="00F6541A">
              <w:rPr>
                <w:lang w:eastAsia="ko-KR"/>
              </w:rPr>
              <w:t>Parental occupational prestige</w:t>
            </w:r>
          </w:p>
        </w:tc>
        <w:tc>
          <w:tcPr>
            <w:tcW w:w="1134" w:type="dxa"/>
            <w:tcBorders>
              <w:top w:val="single" w:sz="4" w:space="0" w:color="auto"/>
              <w:bottom w:val="nil"/>
            </w:tcBorders>
            <w:shd w:val="clear" w:color="auto" w:fill="auto"/>
            <w:hideMark/>
          </w:tcPr>
          <w:p w14:paraId="6E741648" w14:textId="77777777" w:rsidR="000F5784" w:rsidRPr="00F6541A" w:rsidRDefault="000F5784" w:rsidP="00F900B5">
            <w:pPr>
              <w:pStyle w:val="Tabletext"/>
              <w:rPr>
                <w:lang w:eastAsia="ko-KR"/>
              </w:rPr>
            </w:pPr>
            <w:r w:rsidRPr="00F6541A">
              <w:rPr>
                <w:lang w:eastAsia="ko-KR"/>
              </w:rPr>
              <w:t>1.00</w:t>
            </w:r>
          </w:p>
        </w:tc>
        <w:tc>
          <w:tcPr>
            <w:tcW w:w="425" w:type="dxa"/>
            <w:tcBorders>
              <w:top w:val="single" w:sz="4" w:space="0" w:color="auto"/>
              <w:bottom w:val="nil"/>
            </w:tcBorders>
            <w:shd w:val="clear" w:color="auto" w:fill="auto"/>
            <w:hideMark/>
          </w:tcPr>
          <w:p w14:paraId="7687ABA8" w14:textId="77777777" w:rsidR="000F5784" w:rsidRPr="00F6541A" w:rsidRDefault="000F5784" w:rsidP="00F900B5">
            <w:pPr>
              <w:pStyle w:val="Tabletext"/>
              <w:rPr>
                <w:lang w:eastAsia="ko-KR"/>
              </w:rPr>
            </w:pPr>
          </w:p>
        </w:tc>
        <w:tc>
          <w:tcPr>
            <w:tcW w:w="992" w:type="dxa"/>
            <w:tcBorders>
              <w:top w:val="single" w:sz="4" w:space="0" w:color="auto"/>
              <w:bottom w:val="nil"/>
            </w:tcBorders>
            <w:shd w:val="clear" w:color="auto" w:fill="auto"/>
            <w:hideMark/>
          </w:tcPr>
          <w:p w14:paraId="4DD154A0" w14:textId="77777777" w:rsidR="000F5784" w:rsidRPr="00F6541A" w:rsidRDefault="000F5784" w:rsidP="00F900B5">
            <w:pPr>
              <w:pStyle w:val="Tabletext"/>
              <w:rPr>
                <w:lang w:eastAsia="ko-KR"/>
              </w:rPr>
            </w:pPr>
            <w:r w:rsidRPr="00F6541A">
              <w:rPr>
                <w:lang w:eastAsia="ko-KR"/>
              </w:rPr>
              <w:t>1.00</w:t>
            </w:r>
          </w:p>
        </w:tc>
        <w:tc>
          <w:tcPr>
            <w:tcW w:w="426" w:type="dxa"/>
            <w:tcBorders>
              <w:top w:val="single" w:sz="4" w:space="0" w:color="auto"/>
              <w:bottom w:val="nil"/>
            </w:tcBorders>
            <w:shd w:val="clear" w:color="auto" w:fill="auto"/>
            <w:hideMark/>
          </w:tcPr>
          <w:p w14:paraId="72A85D0E" w14:textId="77777777" w:rsidR="000F5784" w:rsidRPr="00F6541A" w:rsidRDefault="000F5784" w:rsidP="00F900B5">
            <w:pPr>
              <w:pStyle w:val="Tabletext"/>
              <w:rPr>
                <w:lang w:eastAsia="ko-KR"/>
              </w:rPr>
            </w:pPr>
          </w:p>
        </w:tc>
        <w:tc>
          <w:tcPr>
            <w:tcW w:w="992" w:type="dxa"/>
            <w:tcBorders>
              <w:top w:val="single" w:sz="4" w:space="0" w:color="auto"/>
              <w:bottom w:val="nil"/>
            </w:tcBorders>
            <w:shd w:val="clear" w:color="auto" w:fill="auto"/>
            <w:hideMark/>
          </w:tcPr>
          <w:p w14:paraId="4006E79C" w14:textId="77777777" w:rsidR="000F5784" w:rsidRPr="00F6541A" w:rsidRDefault="000F5784" w:rsidP="00F900B5">
            <w:pPr>
              <w:pStyle w:val="Tabletext"/>
              <w:rPr>
                <w:lang w:eastAsia="ko-KR"/>
              </w:rPr>
            </w:pPr>
            <w:r w:rsidRPr="00F6541A">
              <w:rPr>
                <w:lang w:eastAsia="ko-KR"/>
              </w:rPr>
              <w:t>1.01</w:t>
            </w:r>
          </w:p>
        </w:tc>
        <w:tc>
          <w:tcPr>
            <w:tcW w:w="283" w:type="dxa"/>
            <w:tcBorders>
              <w:top w:val="single" w:sz="4" w:space="0" w:color="auto"/>
              <w:bottom w:val="nil"/>
            </w:tcBorders>
            <w:shd w:val="clear" w:color="auto" w:fill="auto"/>
            <w:hideMark/>
          </w:tcPr>
          <w:p w14:paraId="63F01985" w14:textId="77777777" w:rsidR="000F5784" w:rsidRPr="00F6541A" w:rsidRDefault="000F5784" w:rsidP="00F900B5">
            <w:pPr>
              <w:pStyle w:val="Tabletext"/>
              <w:rPr>
                <w:lang w:eastAsia="ko-KR"/>
              </w:rPr>
            </w:pPr>
          </w:p>
        </w:tc>
        <w:tc>
          <w:tcPr>
            <w:tcW w:w="993" w:type="dxa"/>
            <w:tcBorders>
              <w:top w:val="single" w:sz="4" w:space="0" w:color="auto"/>
              <w:bottom w:val="nil"/>
            </w:tcBorders>
            <w:shd w:val="clear" w:color="auto" w:fill="auto"/>
            <w:hideMark/>
          </w:tcPr>
          <w:p w14:paraId="0D0FF8F5" w14:textId="77777777" w:rsidR="000F5784" w:rsidRPr="00F6541A" w:rsidRDefault="000F5784" w:rsidP="00F900B5">
            <w:pPr>
              <w:pStyle w:val="Tabletext"/>
              <w:rPr>
                <w:lang w:eastAsia="ko-KR"/>
              </w:rPr>
            </w:pPr>
            <w:r w:rsidRPr="00F6541A">
              <w:rPr>
                <w:lang w:eastAsia="ko-KR"/>
              </w:rPr>
              <w:t>1.00</w:t>
            </w:r>
          </w:p>
        </w:tc>
      </w:tr>
      <w:tr w:rsidR="000F5784" w:rsidRPr="00F6541A" w14:paraId="53AD7842" w14:textId="77777777" w:rsidTr="005C3C9C">
        <w:trPr>
          <w:trHeight w:val="281"/>
        </w:trPr>
        <w:tc>
          <w:tcPr>
            <w:tcW w:w="2444" w:type="dxa"/>
            <w:gridSpan w:val="2"/>
            <w:tcBorders>
              <w:top w:val="nil"/>
              <w:left w:val="nil"/>
              <w:bottom w:val="single" w:sz="4" w:space="0" w:color="auto"/>
              <w:right w:val="nil"/>
            </w:tcBorders>
            <w:shd w:val="clear" w:color="auto" w:fill="auto"/>
            <w:noWrap/>
            <w:hideMark/>
          </w:tcPr>
          <w:p w14:paraId="66732EB7" w14:textId="77777777" w:rsidR="000F5784" w:rsidRPr="00F6541A" w:rsidRDefault="000F5784" w:rsidP="00F900B5">
            <w:pPr>
              <w:pStyle w:val="Tabletext"/>
              <w:rPr>
                <w:lang w:eastAsia="ko-KR"/>
              </w:rPr>
            </w:pPr>
            <w:r w:rsidRPr="00F6541A">
              <w:rPr>
                <w:lang w:eastAsia="ko-KR"/>
              </w:rPr>
              <w:t>Parental university degree</w:t>
            </w:r>
          </w:p>
        </w:tc>
        <w:tc>
          <w:tcPr>
            <w:tcW w:w="1134" w:type="dxa"/>
            <w:tcBorders>
              <w:top w:val="nil"/>
              <w:left w:val="nil"/>
              <w:bottom w:val="single" w:sz="4" w:space="0" w:color="auto"/>
              <w:right w:val="nil"/>
            </w:tcBorders>
            <w:shd w:val="clear" w:color="auto" w:fill="auto"/>
            <w:hideMark/>
          </w:tcPr>
          <w:p w14:paraId="6BD4089B" w14:textId="77777777" w:rsidR="000F5784" w:rsidRPr="00F6541A" w:rsidRDefault="000F5784" w:rsidP="00F900B5">
            <w:pPr>
              <w:pStyle w:val="Tabletext"/>
              <w:rPr>
                <w:lang w:eastAsia="ko-KR"/>
              </w:rPr>
            </w:pPr>
            <w:r w:rsidRPr="00F6541A">
              <w:rPr>
                <w:lang w:eastAsia="ko-KR"/>
              </w:rPr>
              <w:t>0.79</w:t>
            </w:r>
          </w:p>
        </w:tc>
        <w:tc>
          <w:tcPr>
            <w:tcW w:w="425" w:type="dxa"/>
            <w:tcBorders>
              <w:top w:val="nil"/>
              <w:left w:val="nil"/>
              <w:bottom w:val="single" w:sz="4" w:space="0" w:color="auto"/>
              <w:right w:val="nil"/>
            </w:tcBorders>
            <w:shd w:val="clear" w:color="auto" w:fill="auto"/>
            <w:hideMark/>
          </w:tcPr>
          <w:p w14:paraId="405B1240" w14:textId="77777777" w:rsidR="000F5784" w:rsidRPr="00F6541A" w:rsidRDefault="000F5784" w:rsidP="00F900B5">
            <w:pPr>
              <w:pStyle w:val="Tabletext"/>
              <w:rPr>
                <w:lang w:eastAsia="ko-KR"/>
              </w:rPr>
            </w:pPr>
          </w:p>
        </w:tc>
        <w:tc>
          <w:tcPr>
            <w:tcW w:w="992" w:type="dxa"/>
            <w:tcBorders>
              <w:top w:val="nil"/>
              <w:left w:val="nil"/>
              <w:bottom w:val="single" w:sz="4" w:space="0" w:color="auto"/>
              <w:right w:val="nil"/>
            </w:tcBorders>
            <w:shd w:val="clear" w:color="auto" w:fill="auto"/>
            <w:hideMark/>
          </w:tcPr>
          <w:p w14:paraId="00D8097B" w14:textId="77777777" w:rsidR="000F5784" w:rsidRPr="00F6541A" w:rsidRDefault="000F5784" w:rsidP="00F900B5">
            <w:pPr>
              <w:pStyle w:val="Tabletext"/>
              <w:rPr>
                <w:lang w:eastAsia="ko-KR"/>
              </w:rPr>
            </w:pPr>
            <w:r w:rsidRPr="00F6541A">
              <w:rPr>
                <w:lang w:eastAsia="ko-KR"/>
              </w:rPr>
              <w:t>0.86</w:t>
            </w:r>
          </w:p>
        </w:tc>
        <w:tc>
          <w:tcPr>
            <w:tcW w:w="426" w:type="dxa"/>
            <w:tcBorders>
              <w:top w:val="nil"/>
              <w:left w:val="nil"/>
              <w:bottom w:val="single" w:sz="4" w:space="0" w:color="auto"/>
              <w:right w:val="nil"/>
            </w:tcBorders>
            <w:shd w:val="clear" w:color="auto" w:fill="auto"/>
            <w:hideMark/>
          </w:tcPr>
          <w:p w14:paraId="7AF05A32" w14:textId="77777777" w:rsidR="000F5784" w:rsidRPr="00F6541A" w:rsidRDefault="000F5784" w:rsidP="00F900B5">
            <w:pPr>
              <w:pStyle w:val="Tabletext"/>
              <w:rPr>
                <w:lang w:eastAsia="ko-KR"/>
              </w:rPr>
            </w:pPr>
          </w:p>
        </w:tc>
        <w:tc>
          <w:tcPr>
            <w:tcW w:w="992" w:type="dxa"/>
            <w:tcBorders>
              <w:top w:val="nil"/>
              <w:left w:val="nil"/>
              <w:bottom w:val="single" w:sz="4" w:space="0" w:color="auto"/>
              <w:right w:val="nil"/>
            </w:tcBorders>
            <w:shd w:val="clear" w:color="auto" w:fill="auto"/>
            <w:hideMark/>
          </w:tcPr>
          <w:p w14:paraId="71C117F0" w14:textId="77777777" w:rsidR="000F5784" w:rsidRPr="00F6541A" w:rsidRDefault="000F5784" w:rsidP="00F900B5">
            <w:pPr>
              <w:pStyle w:val="Tabletext"/>
              <w:rPr>
                <w:lang w:eastAsia="ko-KR"/>
              </w:rPr>
            </w:pPr>
            <w:r w:rsidRPr="00F6541A">
              <w:rPr>
                <w:lang w:eastAsia="ko-KR"/>
              </w:rPr>
              <w:t>0.71</w:t>
            </w:r>
          </w:p>
        </w:tc>
        <w:tc>
          <w:tcPr>
            <w:tcW w:w="283" w:type="dxa"/>
            <w:tcBorders>
              <w:top w:val="nil"/>
              <w:left w:val="nil"/>
              <w:bottom w:val="single" w:sz="4" w:space="0" w:color="auto"/>
              <w:right w:val="nil"/>
            </w:tcBorders>
            <w:shd w:val="clear" w:color="auto" w:fill="auto"/>
            <w:hideMark/>
          </w:tcPr>
          <w:p w14:paraId="17C04D99" w14:textId="77777777" w:rsidR="000F5784" w:rsidRPr="00F6541A" w:rsidRDefault="000F5784" w:rsidP="00F900B5">
            <w:pPr>
              <w:pStyle w:val="Tabletext"/>
              <w:rPr>
                <w:lang w:eastAsia="ko-KR"/>
              </w:rPr>
            </w:pPr>
          </w:p>
        </w:tc>
        <w:tc>
          <w:tcPr>
            <w:tcW w:w="993" w:type="dxa"/>
            <w:tcBorders>
              <w:top w:val="nil"/>
              <w:left w:val="nil"/>
              <w:bottom w:val="single" w:sz="4" w:space="0" w:color="auto"/>
              <w:right w:val="nil"/>
            </w:tcBorders>
            <w:shd w:val="clear" w:color="auto" w:fill="auto"/>
            <w:hideMark/>
          </w:tcPr>
          <w:p w14:paraId="476DA05A" w14:textId="77777777" w:rsidR="000F5784" w:rsidRPr="00F6541A" w:rsidRDefault="000F5784" w:rsidP="00F900B5">
            <w:pPr>
              <w:pStyle w:val="Tabletext"/>
              <w:rPr>
                <w:lang w:eastAsia="ko-KR"/>
              </w:rPr>
            </w:pPr>
            <w:r w:rsidRPr="00F6541A">
              <w:rPr>
                <w:lang w:eastAsia="ko-KR"/>
              </w:rPr>
              <w:t>0.60</w:t>
            </w:r>
            <w:r w:rsidRPr="00F6541A">
              <w:rPr>
                <w:vertAlign w:val="superscript"/>
                <w:lang w:eastAsia="ko-KR"/>
              </w:rPr>
              <w:t>*</w:t>
            </w:r>
          </w:p>
        </w:tc>
      </w:tr>
    </w:tbl>
    <w:p w14:paraId="40EB5478" w14:textId="0D0EC2D0" w:rsidR="000F5784" w:rsidRPr="00F6541A" w:rsidRDefault="000F5784" w:rsidP="00E86563">
      <w:pPr>
        <w:pStyle w:val="Source"/>
        <w:rPr>
          <w:lang w:eastAsia="en-AU"/>
        </w:rPr>
      </w:pPr>
      <w:r w:rsidRPr="00E86563">
        <w:rPr>
          <w:lang w:eastAsia="en-AU"/>
        </w:rPr>
        <w:t>Note</w:t>
      </w:r>
      <w:r w:rsidR="00E86563" w:rsidRPr="00E86563">
        <w:rPr>
          <w:lang w:eastAsia="en-AU"/>
        </w:rPr>
        <w:t>:</w:t>
      </w:r>
      <w:r w:rsidRPr="00F6541A">
        <w:rPr>
          <w:lang w:eastAsia="en-AU"/>
        </w:rPr>
        <w:t xml:space="preserve"> </w:t>
      </w:r>
      <w:r w:rsidRPr="00F6541A">
        <w:rPr>
          <w:rFonts w:eastAsia="Malgun Gothic"/>
          <w:lang w:eastAsia="ko-KR"/>
        </w:rPr>
        <w:t xml:space="preserve">AHSS refers to </w:t>
      </w:r>
      <w:r w:rsidRPr="00F6541A">
        <w:rPr>
          <w:lang w:eastAsia="en-AU"/>
        </w:rPr>
        <w:t xml:space="preserve">Arts/Humanity/Social Science. </w:t>
      </w:r>
      <w:r w:rsidRPr="00F6541A">
        <w:rPr>
          <w:rFonts w:eastAsia="Malgun Gothic"/>
          <w:vertAlign w:val="superscript"/>
          <w:lang w:eastAsia="ko-KR"/>
        </w:rPr>
        <w:t>*</w:t>
      </w:r>
      <w:r w:rsidRPr="00F6541A">
        <w:rPr>
          <w:rFonts w:eastAsia="Malgun Gothic"/>
          <w:lang w:eastAsia="ko-KR"/>
        </w:rPr>
        <w:t xml:space="preserve"> </w:t>
      </w:r>
      <w:r w:rsidRPr="00F6541A">
        <w:rPr>
          <w:rFonts w:eastAsia="Malgun Gothic"/>
          <w:i/>
          <w:lang w:eastAsia="ko-KR"/>
        </w:rPr>
        <w:t>p</w:t>
      </w:r>
      <w:r w:rsidRPr="00F6541A">
        <w:rPr>
          <w:rFonts w:eastAsia="Malgun Gothic"/>
          <w:lang w:eastAsia="ko-KR"/>
        </w:rPr>
        <w:t xml:space="preserve"> &lt; .05</w:t>
      </w:r>
      <w:r w:rsidR="000364D1">
        <w:rPr>
          <w:rFonts w:eastAsia="Malgun Gothic"/>
          <w:lang w:eastAsia="ko-KR"/>
        </w:rPr>
        <w:t>.</w:t>
      </w:r>
    </w:p>
    <w:p w14:paraId="1F1446EE" w14:textId="77777777" w:rsidR="000F5784" w:rsidRDefault="000F5784" w:rsidP="000F5784">
      <w:pPr>
        <w:pStyle w:val="Heading2"/>
      </w:pPr>
      <w:bookmarkStart w:id="80" w:name="_Toc15048894"/>
      <w:bookmarkStart w:id="81" w:name="_Toc19803907"/>
      <w:r>
        <w:t>Summary</w:t>
      </w:r>
      <w:bookmarkEnd w:id="80"/>
      <w:bookmarkEnd w:id="81"/>
    </w:p>
    <w:p w14:paraId="67F1C8F0" w14:textId="73663334" w:rsidR="000F5784" w:rsidRDefault="000F5784" w:rsidP="006563EB">
      <w:pPr>
        <w:pStyle w:val="Text"/>
      </w:pPr>
      <w:r>
        <w:t xml:space="preserve">Young people benefited from a university degree in the labour market, even after controlling for ability, individual characteristics and family background. University graduates earned </w:t>
      </w:r>
      <w:r w:rsidR="009C6428">
        <w:t xml:space="preserve">a </w:t>
      </w:r>
      <w:r>
        <w:t xml:space="preserve">higher income, and the income benefits of a university degree increased as time went by. Occupational prestige was substantially higher for university graduates than non-graduates. The patterns were almost identical for men and women. Income and occupational prestige varied among university graduates, however. The prestige of universities had some effects on the occupational prestige of male graduates, even after controlling for fields of study. In other words, even with the same major, male graduates from more prestigious universities had jobs with higher occupational prestige than their counterparts who </w:t>
      </w:r>
      <w:r w:rsidR="009C6428">
        <w:t xml:space="preserve">had </w:t>
      </w:r>
      <w:r>
        <w:t>graduated from less prestigious universities. However, when fields of study and other covariates were included, the prestige of universities did not predict income significantly. Fields of study, however, had significant effects on income and occupational prestige for both men and women.</w:t>
      </w:r>
    </w:p>
    <w:p w14:paraId="41B68D08" w14:textId="5A28FBC6" w:rsidR="000F5784" w:rsidRDefault="000F5784" w:rsidP="006563EB">
      <w:pPr>
        <w:pStyle w:val="Text"/>
      </w:pPr>
      <w:r>
        <w:t>The probabilities of attaining a university degree differed significantly by family characteristics. Young people from more advantaged family backgrounds (</w:t>
      </w:r>
      <w:r w:rsidR="00BE55B7">
        <w:t>that is,</w:t>
      </w:r>
      <w:r>
        <w:t xml:space="preserve"> parents with degrees or higher occupational prestige) had significantly higher probabilities of attaining a university degree. Getting a degree from the most prestigious Australian universities was significantly predicted by family background (</w:t>
      </w:r>
      <w:r w:rsidR="00BE55B7">
        <w:t xml:space="preserve">that is, </w:t>
      </w:r>
      <w:r>
        <w:t>parental occupational prestige, parental education). However, fields of study were not significantly predicted by parental occupational prestige or parental education.</w:t>
      </w:r>
    </w:p>
    <w:p w14:paraId="134D50B0" w14:textId="770C2E5E" w:rsidR="000F5784" w:rsidRPr="00F6541A" w:rsidRDefault="000F5784" w:rsidP="006563EB">
      <w:pPr>
        <w:pStyle w:val="Text"/>
      </w:pPr>
      <w:r>
        <w:t xml:space="preserve">These findings indicate that vertical stratification in higher education plays an important role in the intergenerational transmission of social status in Australia. A university degree has significant labour market benefits for young people, and the income and occupational disadvantages that young people from low socioeconomic backgrounds experience are largely derived from </w:t>
      </w:r>
      <w:r w:rsidR="00BE55B7">
        <w:t xml:space="preserve">a </w:t>
      </w:r>
      <w:r>
        <w:t>lack of opportunity to g</w:t>
      </w:r>
      <w:r w:rsidR="00BE55B7">
        <w:t xml:space="preserve">ain </w:t>
      </w:r>
      <w:r>
        <w:t>a university degree.</w:t>
      </w:r>
    </w:p>
    <w:p w14:paraId="181D2F2E" w14:textId="77777777" w:rsidR="000F5784" w:rsidRDefault="000F5784" w:rsidP="00FB751C">
      <w:pPr>
        <w:pStyle w:val="Heading2"/>
        <w:spacing w:after="240"/>
      </w:pPr>
      <w:bookmarkStart w:id="82" w:name="_Toc15048895"/>
      <w:bookmarkStart w:id="83" w:name="_Toc19803908"/>
      <w:r>
        <w:lastRenderedPageBreak/>
        <w:t>References</w:t>
      </w:r>
      <w:bookmarkEnd w:id="82"/>
      <w:bookmarkEnd w:id="83"/>
    </w:p>
    <w:p w14:paraId="32A7B6E0" w14:textId="22B2F0F2" w:rsidR="000F5784" w:rsidRDefault="00731281" w:rsidP="00FB751C">
      <w:pPr>
        <w:pStyle w:val="References"/>
      </w:pPr>
      <w:r>
        <w:t>ABS (</w:t>
      </w:r>
      <w:r w:rsidR="000F5784">
        <w:t>Australian Bureau of Statistics</w:t>
      </w:r>
      <w:r>
        <w:t>)</w:t>
      </w:r>
      <w:r w:rsidR="000F5784">
        <w:t xml:space="preserve"> 2011</w:t>
      </w:r>
      <w:r w:rsidR="005B08DD">
        <w:t>, ‘</w:t>
      </w:r>
      <w:r w:rsidR="000F5784">
        <w:t>Perspectives on education and training: social inclusion, 2009</w:t>
      </w:r>
      <w:r w:rsidR="005B08DD">
        <w:t>’</w:t>
      </w:r>
      <w:r w:rsidR="00BE55B7">
        <w:t>, ABS</w:t>
      </w:r>
      <w:r w:rsidR="005B08DD">
        <w:t xml:space="preserve"> cat.no.4250.0.55.001, &lt;</w:t>
      </w:r>
      <w:r w:rsidR="000F5784">
        <w:t>http://www.abs.gov.au/ausstats/abs@.nsf/Lookup/4250.0.55.001Main+Features32009&gt;.</w:t>
      </w:r>
    </w:p>
    <w:p w14:paraId="671F8DEF" w14:textId="087363A3" w:rsidR="000F5784" w:rsidRPr="00E237EE" w:rsidRDefault="000F5784" w:rsidP="00FB751C">
      <w:pPr>
        <w:pStyle w:val="References"/>
      </w:pPr>
      <w:r>
        <w:t xml:space="preserve">Gerber, TP &amp; Cheung, S Y 2008, ‘Horizontal stratification in postsecondary education: forms, explanations, and implications’, </w:t>
      </w:r>
      <w:r>
        <w:rPr>
          <w:i/>
        </w:rPr>
        <w:t>Annual Review of Sociology</w:t>
      </w:r>
      <w:r>
        <w:t>, vol.34, pp.299</w:t>
      </w:r>
      <w:r w:rsidR="00BE55B7">
        <w:t>−</w:t>
      </w:r>
      <w:r>
        <w:t>318.</w:t>
      </w:r>
    </w:p>
    <w:p w14:paraId="4094EC81" w14:textId="39CC8022" w:rsidR="000F5784" w:rsidRDefault="000F5784" w:rsidP="00FB751C">
      <w:pPr>
        <w:pStyle w:val="References"/>
      </w:pPr>
      <w:r>
        <w:t>Lee</w:t>
      </w:r>
      <w:r w:rsidR="005D4966">
        <w:t>,</w:t>
      </w:r>
      <w:r>
        <w:t xml:space="preserve"> </w:t>
      </w:r>
      <w:r w:rsidR="005D4966">
        <w:t>J</w:t>
      </w:r>
      <w:r w:rsidR="009747B1">
        <w:t>-</w:t>
      </w:r>
      <w:r w:rsidR="005D4966">
        <w:t xml:space="preserve">S </w:t>
      </w:r>
      <w:r>
        <w:t>2014</w:t>
      </w:r>
      <w:r w:rsidR="005D4966">
        <w:t xml:space="preserve">, ‘The attainability of university degrees and their labour market benefits for young Australians’, </w:t>
      </w:r>
      <w:r w:rsidR="005D4966" w:rsidRPr="005C670F">
        <w:rPr>
          <w:i/>
        </w:rPr>
        <w:t>Higher Education</w:t>
      </w:r>
      <w:r w:rsidR="005D4966">
        <w:t>, vol.68, no.3, pp</w:t>
      </w:r>
      <w:r w:rsidR="007D23C8">
        <w:t>.</w:t>
      </w:r>
      <w:r w:rsidR="005D4966">
        <w:t>449</w:t>
      </w:r>
      <w:r w:rsidR="00BE55B7">
        <w:t>−</w:t>
      </w:r>
      <w:r w:rsidR="005D4966">
        <w:t>69.</w:t>
      </w:r>
      <w:r>
        <w:t xml:space="preserve"> </w:t>
      </w:r>
    </w:p>
    <w:p w14:paraId="2C41F32C" w14:textId="7256AC26" w:rsidR="000F5784" w:rsidRPr="00E237EE" w:rsidRDefault="000F5784" w:rsidP="00FB751C">
      <w:pPr>
        <w:pStyle w:val="References"/>
      </w:pPr>
      <w:r>
        <w:t xml:space="preserve">Leigh, A 2008, ‘Returns to education in Australia’, </w:t>
      </w:r>
      <w:r>
        <w:rPr>
          <w:i/>
        </w:rPr>
        <w:t>Economic Papers</w:t>
      </w:r>
      <w:r>
        <w:t>, vol.34, pp.233</w:t>
      </w:r>
      <w:r w:rsidR="007D23C8">
        <w:t>−</w:t>
      </w:r>
      <w:r>
        <w:t>49.</w:t>
      </w:r>
    </w:p>
    <w:p w14:paraId="791A9E72" w14:textId="71443E57" w:rsidR="000F5784" w:rsidRPr="00E237EE" w:rsidRDefault="000F5784" w:rsidP="00FB751C">
      <w:pPr>
        <w:pStyle w:val="References"/>
      </w:pPr>
      <w:r>
        <w:t xml:space="preserve">Leigh, A &amp; Ryan, C 2008, ‘Estimating returns to education using different natural experiment techniques’, </w:t>
      </w:r>
      <w:r>
        <w:rPr>
          <w:i/>
        </w:rPr>
        <w:t>Economics of Education Review</w:t>
      </w:r>
      <w:r>
        <w:t>, vol.27, pp.149</w:t>
      </w:r>
      <w:r w:rsidR="007D23C8">
        <w:t>−</w:t>
      </w:r>
      <w:r>
        <w:t>60.</w:t>
      </w:r>
    </w:p>
    <w:p w14:paraId="0D3D75DA" w14:textId="4D0EEFDE" w:rsidR="000F5784" w:rsidRPr="00E237EE" w:rsidRDefault="000F5784" w:rsidP="00FB751C">
      <w:pPr>
        <w:pStyle w:val="References"/>
      </w:pPr>
      <w:r>
        <w:t xml:space="preserve">Miller, P, Mulvey, C &amp; Martin, N 2006, ‘The returns to schooling: estimates from a sample of young Australian twins’, </w:t>
      </w:r>
      <w:r>
        <w:rPr>
          <w:i/>
        </w:rPr>
        <w:t>Labour Economics</w:t>
      </w:r>
      <w:r>
        <w:t>, vol.13, pp.571</w:t>
      </w:r>
      <w:r w:rsidR="00933BF6">
        <w:t>−</w:t>
      </w:r>
      <w:r>
        <w:t>87.</w:t>
      </w:r>
    </w:p>
    <w:p w14:paraId="09DED82F" w14:textId="15F74153" w:rsidR="000F5784" w:rsidRPr="00930F39" w:rsidRDefault="000F5784" w:rsidP="00FB751C">
      <w:pPr>
        <w:pStyle w:val="References"/>
      </w:pPr>
      <w:r>
        <w:t>Ministerial Council on Education</w:t>
      </w:r>
      <w:r w:rsidR="00BA335F">
        <w:t>,</w:t>
      </w:r>
      <w:r>
        <w:t xml:space="preserve"> Employment</w:t>
      </w:r>
      <w:r w:rsidR="00BA335F">
        <w:t>,</w:t>
      </w:r>
      <w:r>
        <w:t xml:space="preserve"> Training and Youth Affairs 2008, </w:t>
      </w:r>
      <w:r>
        <w:rPr>
          <w:i/>
        </w:rPr>
        <w:t>Melbourne Declaration on Educational Goals for Young Australians</w:t>
      </w:r>
      <w:r>
        <w:t xml:space="preserve">, </w:t>
      </w:r>
      <w:r w:rsidR="00893991">
        <w:t xml:space="preserve">viewed 24 May 2019, </w:t>
      </w:r>
      <w:r>
        <w:t>&lt;http://www.curriculum.edu.au/verve/_resources/National_Declaration_on_the_Educational_Goals_for_Young_Australians.pdf&gt;.</w:t>
      </w:r>
    </w:p>
    <w:p w14:paraId="45182817" w14:textId="3AF85E0A" w:rsidR="000F5784" w:rsidRPr="00930F39" w:rsidRDefault="00D403A7" w:rsidP="00FB751C">
      <w:pPr>
        <w:pStyle w:val="References"/>
      </w:pPr>
      <w:r>
        <w:t>OECD (</w:t>
      </w:r>
      <w:r w:rsidR="00933BF6">
        <w:t>O</w:t>
      </w:r>
      <w:r w:rsidR="00E715F0">
        <w:t xml:space="preserve">rganisation for Economic </w:t>
      </w:r>
      <w:r w:rsidR="008A4E9F">
        <w:t>Co-operation and Development)</w:t>
      </w:r>
      <w:r w:rsidR="000F5784">
        <w:t xml:space="preserve"> 2012, </w:t>
      </w:r>
      <w:r w:rsidR="000F5784">
        <w:rPr>
          <w:i/>
        </w:rPr>
        <w:t xml:space="preserve">Education at a </w:t>
      </w:r>
      <w:r w:rsidR="008A4E9F">
        <w:rPr>
          <w:i/>
        </w:rPr>
        <w:t>g</w:t>
      </w:r>
      <w:r w:rsidR="000F5784">
        <w:rPr>
          <w:i/>
        </w:rPr>
        <w:t xml:space="preserve">lance 2012: OECD </w:t>
      </w:r>
      <w:r w:rsidR="008A4E9F">
        <w:rPr>
          <w:i/>
        </w:rPr>
        <w:t>i</w:t>
      </w:r>
      <w:r w:rsidR="000F5784">
        <w:rPr>
          <w:i/>
        </w:rPr>
        <w:t>ndicators</w:t>
      </w:r>
      <w:r w:rsidR="000F5784">
        <w:t xml:space="preserve">, </w:t>
      </w:r>
      <w:r w:rsidR="00893991">
        <w:t xml:space="preserve">OEDC Publishing, </w:t>
      </w:r>
      <w:r w:rsidR="000F5784">
        <w:t>&lt;http://www.oecd.org/edu/EAG%202012_e-book_EN_200912.pdf&gt;.</w:t>
      </w:r>
    </w:p>
    <w:p w14:paraId="4AC6C9DB" w14:textId="4E313A05" w:rsidR="000F5784" w:rsidRDefault="000F5784" w:rsidP="00FB751C">
      <w:pPr>
        <w:pStyle w:val="References"/>
      </w:pPr>
      <w:proofErr w:type="spellStart"/>
      <w:r>
        <w:t>Rummery</w:t>
      </w:r>
      <w:proofErr w:type="spellEnd"/>
      <w:r>
        <w:t xml:space="preserve">, S, Vella, F &amp; Verbeek, M 1999, ‘Estimating the returns to education for Australian youth via rank-order instrumental variables’, </w:t>
      </w:r>
      <w:r>
        <w:rPr>
          <w:i/>
        </w:rPr>
        <w:t>Labour Economics</w:t>
      </w:r>
      <w:r>
        <w:t>, vol.6, pp.491</w:t>
      </w:r>
      <w:r w:rsidR="008A4E9F">
        <w:t>−</w:t>
      </w:r>
      <w:r>
        <w:t>507.</w:t>
      </w:r>
    </w:p>
    <w:p w14:paraId="473AA5AF" w14:textId="77777777" w:rsidR="000F5784" w:rsidRDefault="000F5784" w:rsidP="000F5784">
      <w:r>
        <w:br w:type="page"/>
      </w:r>
    </w:p>
    <w:p w14:paraId="123C9A15" w14:textId="7123D5D2" w:rsidR="005C670F" w:rsidRDefault="005C670F" w:rsidP="00E612BF">
      <w:pPr>
        <w:pStyle w:val="Heading1"/>
      </w:pPr>
      <w:bookmarkStart w:id="84" w:name="_Toc19803909"/>
      <w:r>
        <w:lastRenderedPageBreak/>
        <w:t>Associations between educational attainment and both family and school SES</w:t>
      </w:r>
      <w:bookmarkEnd w:id="84"/>
    </w:p>
    <w:p w14:paraId="39EFE422" w14:textId="749AB47F" w:rsidR="005C670F" w:rsidRPr="00311A5E" w:rsidRDefault="005C670F" w:rsidP="00EF62EB">
      <w:pPr>
        <w:pStyle w:val="Text"/>
        <w:rPr>
          <w:i/>
          <w:sz w:val="22"/>
          <w:szCs w:val="22"/>
        </w:rPr>
      </w:pPr>
      <w:r w:rsidRPr="00311A5E">
        <w:rPr>
          <w:i/>
          <w:sz w:val="22"/>
          <w:szCs w:val="22"/>
        </w:rPr>
        <w:t>Jenny Chesters</w:t>
      </w:r>
      <w:r w:rsidR="00725D79">
        <w:rPr>
          <w:i/>
          <w:sz w:val="22"/>
          <w:szCs w:val="22"/>
        </w:rPr>
        <w:t>, The University of Melbourne</w:t>
      </w:r>
    </w:p>
    <w:p w14:paraId="430FB149" w14:textId="5DED8C76" w:rsidR="005C670F" w:rsidRPr="00725D79" w:rsidRDefault="005C670F" w:rsidP="00EF62EB">
      <w:pPr>
        <w:pStyle w:val="Text"/>
        <w:rPr>
          <w:i/>
        </w:rPr>
      </w:pPr>
      <w:r w:rsidRPr="00EF62EB">
        <w:rPr>
          <w:i/>
        </w:rPr>
        <w:t xml:space="preserve">The analyses in this section have been drawn from a </w:t>
      </w:r>
      <w:r w:rsidR="009A4C7E">
        <w:rPr>
          <w:i/>
        </w:rPr>
        <w:t>201</w:t>
      </w:r>
      <w:r w:rsidR="00410138">
        <w:rPr>
          <w:i/>
        </w:rPr>
        <w:t>9</w:t>
      </w:r>
      <w:r w:rsidRPr="00EF62EB">
        <w:rPr>
          <w:i/>
        </w:rPr>
        <w:t xml:space="preserve"> paper </w:t>
      </w:r>
      <w:r w:rsidR="009A4C7E">
        <w:rPr>
          <w:i/>
        </w:rPr>
        <w:t>by Chesters</w:t>
      </w:r>
      <w:r w:rsidR="00D55F2F">
        <w:rPr>
          <w:i/>
        </w:rPr>
        <w:t xml:space="preserve">, entitled </w:t>
      </w:r>
      <w:r w:rsidR="00D55F2F" w:rsidRPr="00D55F2F">
        <w:rPr>
          <w:i/>
          <w:iCs/>
        </w:rPr>
        <w:t>‘Alleviating or exacerbating disadvantage: does school attended mediate the association between family background and educational attainment?’</w:t>
      </w:r>
      <w:r w:rsidR="00725D79">
        <w:rPr>
          <w:i/>
        </w:rPr>
        <w:t xml:space="preserve">, </w:t>
      </w:r>
      <w:r w:rsidR="00725D79">
        <w:t>Journal of Education Policy</w:t>
      </w:r>
      <w:r w:rsidR="00725D79">
        <w:rPr>
          <w:i/>
        </w:rPr>
        <w:t>, vol.34, no.3, pp. 331-50. DOI: 10.1080/02680939.2018.1488001.</w:t>
      </w:r>
    </w:p>
    <w:p w14:paraId="4C111B8E" w14:textId="79F9DD04" w:rsidR="005C670F" w:rsidRDefault="005C670F" w:rsidP="00EF62EB">
      <w:pPr>
        <w:pStyle w:val="Text"/>
      </w:pPr>
      <w:r>
        <w:t>In Australia, the persistence of inequality in educational attainment related to social origin is the subject of an ongoing debate about how education systems reproduce rather than alleviate social inequality. The existence of predictable patterns in levels of educational attainment according to family background indicates that educational inequality is derived from structural inequalities within society, and</w:t>
      </w:r>
      <w:proofErr w:type="gramStart"/>
      <w:r w:rsidR="00B42ACA">
        <w:t>,</w:t>
      </w:r>
      <w:r>
        <w:t xml:space="preserve"> in particular, within</w:t>
      </w:r>
      <w:proofErr w:type="gramEnd"/>
      <w:r>
        <w:t xml:space="preserve"> education systems. Researchers tend to explain this association as an outcome of the ability of highly</w:t>
      </w:r>
      <w:r w:rsidR="007A17B3">
        <w:t xml:space="preserve"> </w:t>
      </w:r>
      <w:r>
        <w:t xml:space="preserve">educated parents to facilitate the development of their children’s cognitive skills and to provide them with the necessary cultural capital for success at school (Bourdieu 1986). Furthermore, they </w:t>
      </w:r>
      <w:r w:rsidR="00525913">
        <w:t>can</w:t>
      </w:r>
      <w:r>
        <w:t xml:space="preserve"> provide a home environment conducive to intellectual development and encourage their children’s participation in educationally appropriate extracurricular activities (Lareau 2011). Resource compensation theory (Parcel, </w:t>
      </w:r>
      <w:proofErr w:type="spellStart"/>
      <w:r>
        <w:t>Dufur</w:t>
      </w:r>
      <w:proofErr w:type="spellEnd"/>
      <w:r>
        <w:t xml:space="preserve"> &amp; Zito 2010) posits that high levels of resources in the school environment can partially compensate for low levels of resources in the home environment.</w:t>
      </w:r>
    </w:p>
    <w:p w14:paraId="475AEEDA" w14:textId="77777777" w:rsidR="005C670F" w:rsidRDefault="005C670F" w:rsidP="005C670F">
      <w:pPr>
        <w:pStyle w:val="Heading2"/>
      </w:pPr>
      <w:bookmarkStart w:id="85" w:name="_Toc15048897"/>
      <w:bookmarkStart w:id="86" w:name="_Toc19803910"/>
      <w:r>
        <w:t>Method</w:t>
      </w:r>
      <w:bookmarkEnd w:id="85"/>
      <w:bookmarkEnd w:id="86"/>
    </w:p>
    <w:p w14:paraId="0689F9FD" w14:textId="02CBE14A" w:rsidR="005C670F" w:rsidRDefault="005C670F" w:rsidP="00EE6C69">
      <w:pPr>
        <w:pStyle w:val="Text"/>
      </w:pPr>
      <w:r>
        <w:t>The data used for the empirical analysis come from the Longitudinal Surveys of Australian Youth</w:t>
      </w:r>
      <w:r w:rsidR="00525913">
        <w:t xml:space="preserve"> (LSAY)</w:t>
      </w:r>
      <w:r>
        <w:t xml:space="preserve"> 2009 (Y09) cohort (</w:t>
      </w:r>
      <w:r w:rsidR="00506DCD">
        <w:t xml:space="preserve">Department of Education and Training </w:t>
      </w:r>
      <w:r>
        <w:t xml:space="preserve">2015). The data were collected from 14 251 students aged 15 years attending secondary schools located throughout Australia in 2009. All the participants in the Y09 project were originally part of the </w:t>
      </w:r>
      <w:r w:rsidR="00487570">
        <w:t>Programme for International Student Assessment (</w:t>
      </w:r>
      <w:r>
        <w:t>PISA</w:t>
      </w:r>
      <w:r w:rsidR="00487570">
        <w:t>)</w:t>
      </w:r>
      <w:r>
        <w:t xml:space="preserve"> study.</w:t>
      </w:r>
    </w:p>
    <w:p w14:paraId="76481BC0" w14:textId="18116238" w:rsidR="005C670F" w:rsidRDefault="005C670F" w:rsidP="00EE6C69">
      <w:pPr>
        <w:pStyle w:val="Text"/>
      </w:pPr>
      <w:r>
        <w:t>The outcome variables are: level of academic achievement at age 15 (PISA score); and enrolment at university. The predictor variables are: student</w:t>
      </w:r>
      <w:r w:rsidR="00525913">
        <w:t xml:space="preserve"> socioeconomic status</w:t>
      </w:r>
      <w:r>
        <w:t xml:space="preserve"> </w:t>
      </w:r>
      <w:r w:rsidR="00525913">
        <w:t>(</w:t>
      </w:r>
      <w:r>
        <w:t>SES</w:t>
      </w:r>
      <w:r w:rsidR="00525913">
        <w:t>)</w:t>
      </w:r>
      <w:r>
        <w:t>; and school SES. I include three control variables: year level at age 15</w:t>
      </w:r>
      <w:r w:rsidR="00506DCD">
        <w:t xml:space="preserve"> ye</w:t>
      </w:r>
      <w:r w:rsidR="00701C77">
        <w:t>ars</w:t>
      </w:r>
      <w:r>
        <w:t xml:space="preserve">; sex; and type of school attended. The academic achievement at age 15 </w:t>
      </w:r>
      <w:r w:rsidR="00B107AE">
        <w:t xml:space="preserve">years </w:t>
      </w:r>
      <w:r>
        <w:t>variable is derived from an index constructed by taking the mean of one plausible value for each domain of the PISA tests. The distribution ranges from 134 to 848</w:t>
      </w:r>
      <w:r w:rsidR="00701C77">
        <w:t>,</w:t>
      </w:r>
      <w:r>
        <w:t xml:space="preserve"> with a mean of 513 and a standard deviation of 96. The PISA index was divided into quartiles</w:t>
      </w:r>
      <w:r w:rsidR="00701C77">
        <w:t>,</w:t>
      </w:r>
      <w:r>
        <w:t xml:space="preserve"> with the lowest scores allocated to </w:t>
      </w:r>
      <w:r w:rsidR="00A90638">
        <w:t>Q</w:t>
      </w:r>
      <w:r>
        <w:t xml:space="preserve">uartile 1 and the highest scores allocated to </w:t>
      </w:r>
      <w:r w:rsidR="00A90638">
        <w:t>Q</w:t>
      </w:r>
      <w:r>
        <w:t>uartile 4. The enrolment at university variable is coded 1 for those enrolled in a bachelor</w:t>
      </w:r>
      <w:r w:rsidR="00701C77">
        <w:t>’s</w:t>
      </w:r>
      <w:r>
        <w:t xml:space="preserve"> degree in any year between 2010 and 2013; and 0 for all other cases.</w:t>
      </w:r>
    </w:p>
    <w:p w14:paraId="475D8179" w14:textId="63E68673" w:rsidR="005C670F" w:rsidRPr="00D02E5D" w:rsidRDefault="005C670F" w:rsidP="00EE6C69">
      <w:pPr>
        <w:pStyle w:val="Text"/>
        <w:rPr>
          <w:color w:val="FF0000"/>
        </w:rPr>
      </w:pPr>
      <w:r>
        <w:t xml:space="preserve">The main predictor variable is </w:t>
      </w:r>
      <w:r w:rsidR="00793ED6">
        <w:t>PISA’s</w:t>
      </w:r>
      <w:r>
        <w:t xml:space="preserve"> index of economic, social and cultural status (ESCS). The individual ESCS distribution is divided into quartiles</w:t>
      </w:r>
      <w:r w:rsidR="00793ED6">
        <w:t>,</w:t>
      </w:r>
      <w:r>
        <w:t xml:space="preserve"> with students in </w:t>
      </w:r>
      <w:r w:rsidR="00A90638">
        <w:t>Q</w:t>
      </w:r>
      <w:r>
        <w:t xml:space="preserve">uartile 1 being the most disadvantaged and students in </w:t>
      </w:r>
      <w:r w:rsidR="00A90638">
        <w:t>Q</w:t>
      </w:r>
      <w:r>
        <w:t xml:space="preserve">uartile 4 being the most advantaged. To measure school SES, I added the ESCS values for individual students at each school and calculated the </w:t>
      </w:r>
      <w:r>
        <w:lastRenderedPageBreak/>
        <w:t>mean based on the assumption that the students selected to participate in PISA, and therefore LSAY, in each school are representative of the school population. Given that the PISA team randomly selected the students within each school, this is a reasonable assumption. The school ESCS distribution is divided into quartiles</w:t>
      </w:r>
      <w:r w:rsidR="00CE4449">
        <w:t>,</w:t>
      </w:r>
      <w:r>
        <w:t xml:space="preserve"> with schools in </w:t>
      </w:r>
      <w:r w:rsidR="004D466E">
        <w:t>Q</w:t>
      </w:r>
      <w:r>
        <w:t xml:space="preserve">uartile 1 being the most disadvantaged and schools in </w:t>
      </w:r>
      <w:r w:rsidR="00A90638">
        <w:t>Q</w:t>
      </w:r>
      <w:r>
        <w:t xml:space="preserve">uartile 4 being the most advantaged. To examine the associations between academic achievement and both family and school SES, I construct a composite variable from student SES and school SES. The variable has 16 categories, one for each student SES quartile in each school </w:t>
      </w:r>
      <w:r w:rsidRPr="00D02E5D">
        <w:t>SES quartile. For example: Quartile 1 student*Quartile 1 school; Quartile 1 student*Quartile 2 school; Quartile 1 student*Quartile 3 school; Quartile 1 student*Quartile 4 school.</w:t>
      </w:r>
    </w:p>
    <w:p w14:paraId="693CC803" w14:textId="7BD8CF7A" w:rsidR="005C670F" w:rsidRDefault="005C670F" w:rsidP="00EE6C69">
      <w:pPr>
        <w:pStyle w:val="Text"/>
      </w:pPr>
      <w:r>
        <w:t>Due to differences between the education systems of different states/territories, students were in various year levels in 2009</w:t>
      </w:r>
      <w:r w:rsidR="00CE4449">
        <w:t>;</w:t>
      </w:r>
      <w:r>
        <w:t xml:space="preserve"> therefore</w:t>
      </w:r>
      <w:r w:rsidR="00CE4449">
        <w:t>,</w:t>
      </w:r>
      <w:r>
        <w:t xml:space="preserve"> a variable for year level in 2009 is included. Sex is coded 0 for male and 1 for female. The school type variable divides schools into three categories: government, Catholic</w:t>
      </w:r>
      <w:r w:rsidR="00902074">
        <w:t>,</w:t>
      </w:r>
      <w:r>
        <w:t xml:space="preserve"> and independent.</w:t>
      </w:r>
    </w:p>
    <w:p w14:paraId="5BD1F8C0" w14:textId="77777777" w:rsidR="005C670F" w:rsidRDefault="005C670F" w:rsidP="005C670F">
      <w:pPr>
        <w:pStyle w:val="Heading2"/>
      </w:pPr>
      <w:bookmarkStart w:id="87" w:name="_Toc15048898"/>
      <w:bookmarkStart w:id="88" w:name="_Toc19803911"/>
      <w:r>
        <w:t>Associations between SES and PISA scores</w:t>
      </w:r>
      <w:bookmarkEnd w:id="87"/>
      <w:bookmarkEnd w:id="88"/>
    </w:p>
    <w:p w14:paraId="2140B98A" w14:textId="4A30380E" w:rsidR="005C670F" w:rsidRDefault="005C670F" w:rsidP="00EE6C69">
      <w:pPr>
        <w:pStyle w:val="Text"/>
      </w:pPr>
      <w:r>
        <w:t xml:space="preserve">The graph in </w:t>
      </w:r>
      <w:r w:rsidR="002014BC">
        <w:t>f</w:t>
      </w:r>
      <w:r>
        <w:t xml:space="preserve">igure </w:t>
      </w:r>
      <w:r w:rsidR="000E2026">
        <w:t xml:space="preserve">5 </w:t>
      </w:r>
      <w:r>
        <w:t>shows that</w:t>
      </w:r>
      <w:r w:rsidR="002014BC">
        <w:t>,</w:t>
      </w:r>
      <w:r>
        <w:t xml:space="preserve"> as school SES increases</w:t>
      </w:r>
      <w:r w:rsidR="002014BC">
        <w:t>,</w:t>
      </w:r>
      <w:r>
        <w:t xml:space="preserve"> the percentage of the student population from low</w:t>
      </w:r>
      <w:r w:rsidR="002014BC">
        <w:t>-</w:t>
      </w:r>
      <w:r>
        <w:t xml:space="preserve">SES families declines. Just </w:t>
      </w:r>
      <w:r w:rsidR="002014BC">
        <w:t>6%</w:t>
      </w:r>
      <w:r>
        <w:t xml:space="preserve"> of students in the highest SES schools (Quartile 4 schools) were low</w:t>
      </w:r>
      <w:r w:rsidR="002014BC">
        <w:t>-</w:t>
      </w:r>
      <w:r>
        <w:t>SES students (Quartile 1 students)</w:t>
      </w:r>
      <w:r w:rsidR="002014BC">
        <w:t>,</w:t>
      </w:r>
      <w:r>
        <w:t xml:space="preserve"> whereas 52</w:t>
      </w:r>
      <w:r w:rsidR="002014BC">
        <w:t>%</w:t>
      </w:r>
      <w:r>
        <w:t xml:space="preserve"> of students in Quartile 4 schools were high</w:t>
      </w:r>
      <w:r w:rsidR="00A90638">
        <w:t>-</w:t>
      </w:r>
      <w:r>
        <w:t>SES students (Quartile 4 students). Almost half (47%) of the students attending Quartile 1 schools were low</w:t>
      </w:r>
      <w:r w:rsidR="004D466E">
        <w:t>-</w:t>
      </w:r>
      <w:r>
        <w:t>SES students</w:t>
      </w:r>
      <w:r w:rsidR="004D466E">
        <w:t>,</w:t>
      </w:r>
      <w:r>
        <w:t xml:space="preserve"> whereas just </w:t>
      </w:r>
      <w:r w:rsidR="004D466E">
        <w:t>6%</w:t>
      </w:r>
      <w:r>
        <w:t xml:space="preserve"> of students attending low</w:t>
      </w:r>
      <w:r w:rsidR="004D466E">
        <w:t>-</w:t>
      </w:r>
      <w:r>
        <w:t>SES schools were high</w:t>
      </w:r>
      <w:r w:rsidR="004D466E">
        <w:t>-</w:t>
      </w:r>
      <w:r>
        <w:t>SES students.</w:t>
      </w:r>
    </w:p>
    <w:p w14:paraId="4B1AAA2A" w14:textId="47086BD2" w:rsidR="005C670F" w:rsidRPr="0025630C" w:rsidRDefault="005C670F" w:rsidP="000D2278">
      <w:pPr>
        <w:pStyle w:val="Figuretitle"/>
      </w:pPr>
      <w:bookmarkStart w:id="89" w:name="_Toc19001691"/>
      <w:r w:rsidRPr="0025630C">
        <w:t xml:space="preserve">Figure </w:t>
      </w:r>
      <w:r w:rsidR="000E2026">
        <w:t>5</w:t>
      </w:r>
      <w:r w:rsidR="00D12E2D">
        <w:tab/>
      </w:r>
      <w:r w:rsidRPr="0025630C">
        <w:t>Association between student SES and school SES</w:t>
      </w:r>
      <w:bookmarkEnd w:id="89"/>
      <w:r w:rsidRPr="0025630C">
        <w:t xml:space="preserve"> </w:t>
      </w:r>
    </w:p>
    <w:p w14:paraId="58FEEE97" w14:textId="56DFD32B" w:rsidR="005C670F" w:rsidRDefault="005C670F" w:rsidP="005C670F">
      <w:pPr>
        <w:spacing w:line="360" w:lineRule="auto"/>
        <w:rPr>
          <w:sz w:val="24"/>
          <w:szCs w:val="24"/>
        </w:rPr>
      </w:pPr>
      <w:r>
        <w:rPr>
          <w:noProof/>
          <w:sz w:val="24"/>
          <w:szCs w:val="24"/>
        </w:rPr>
        <w:drawing>
          <wp:inline distT="0" distB="0" distL="0" distR="0" wp14:anchorId="5A69EA81" wp14:editId="7ABA024F">
            <wp:extent cx="4387692" cy="23717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l="1559" t="10455" r="2309" b="2420"/>
                    <a:stretch/>
                  </pic:blipFill>
                  <pic:spPr bwMode="auto">
                    <a:xfrm>
                      <a:off x="0" y="0"/>
                      <a:ext cx="4427582" cy="2393287"/>
                    </a:xfrm>
                    <a:prstGeom prst="rect">
                      <a:avLst/>
                    </a:prstGeom>
                    <a:noFill/>
                    <a:ln>
                      <a:noFill/>
                    </a:ln>
                    <a:extLst>
                      <a:ext uri="{53640926-AAD7-44D8-BBD7-CCE9431645EC}">
                        <a14:shadowObscured xmlns:a14="http://schemas.microsoft.com/office/drawing/2010/main"/>
                      </a:ext>
                    </a:extLst>
                  </pic:spPr>
                </pic:pic>
              </a:graphicData>
            </a:graphic>
          </wp:inline>
        </w:drawing>
      </w:r>
    </w:p>
    <w:p w14:paraId="4713EED2" w14:textId="4E96E1FC" w:rsidR="005C670F" w:rsidRDefault="005C670F" w:rsidP="005C670F">
      <w:pPr>
        <w:pStyle w:val="Heading2"/>
      </w:pPr>
      <w:bookmarkStart w:id="90" w:name="_Toc15048899"/>
      <w:bookmarkStart w:id="91" w:name="_Toc19803912"/>
      <w:r>
        <w:t>Educational achievement at age 15</w:t>
      </w:r>
      <w:bookmarkEnd w:id="90"/>
      <w:bookmarkEnd w:id="91"/>
    </w:p>
    <w:p w14:paraId="62BDD191" w14:textId="474505AE" w:rsidR="005C670F" w:rsidRDefault="005C670F" w:rsidP="00EE6C69">
      <w:pPr>
        <w:pStyle w:val="Text"/>
      </w:pPr>
      <w:r>
        <w:t xml:space="preserve">To examine whether the SES of the school attended mediates the association between family SES and educational achievement, I construct a series of linear regression models. The results of the three models are presented in </w:t>
      </w:r>
      <w:r w:rsidR="009659FB">
        <w:t>t</w:t>
      </w:r>
      <w:r>
        <w:t xml:space="preserve">able </w:t>
      </w:r>
      <w:r w:rsidR="000E2026">
        <w:t>7</w:t>
      </w:r>
      <w:r>
        <w:t>. The results for Model 1 show that student SES is positively associated with PISA scores, net of year level in 2009 and sex. As student SES quartile increases, students’ PISA scores increase. In the second model, I replace student SES with school SES and additionally include school sector. Students attending high</w:t>
      </w:r>
      <w:r w:rsidR="000B03EB">
        <w:t>-</w:t>
      </w:r>
      <w:r>
        <w:t>SES schools (school Quartile 4) scored, on average, 82 points higher than students attending low</w:t>
      </w:r>
      <w:r w:rsidR="000B03EB">
        <w:t>-</w:t>
      </w:r>
      <w:r>
        <w:t xml:space="preserve">SES schools (school Quartile 1). In Model 3, I replace school SES with </w:t>
      </w:r>
      <w:r>
        <w:lastRenderedPageBreak/>
        <w:t>the composite student SES*school SES variable. Net of sex, year in 2009 and school sector, low</w:t>
      </w:r>
      <w:r w:rsidR="00F54EE0">
        <w:t>-</w:t>
      </w:r>
      <w:r>
        <w:t>SES students attending high</w:t>
      </w:r>
      <w:r w:rsidR="00F54EE0">
        <w:t>-</w:t>
      </w:r>
      <w:r>
        <w:t>SES schools scored, on average, 75 points higher than low</w:t>
      </w:r>
      <w:r w:rsidR="00F54EE0">
        <w:t>-</w:t>
      </w:r>
      <w:r>
        <w:t>SES students attending low</w:t>
      </w:r>
      <w:r w:rsidR="00F54EE0">
        <w:t>-</w:t>
      </w:r>
      <w:r>
        <w:t>SES schools, indicating, that for low</w:t>
      </w:r>
      <w:r w:rsidR="00F54EE0">
        <w:t>-</w:t>
      </w:r>
      <w:r>
        <w:t>SES students, attending schools with more affluent peers mediates the association between SES and academic achievement. Overall, these results indicate that family SES and school SES are positively, and cumulatively, associated with academic achievement.</w:t>
      </w:r>
    </w:p>
    <w:p w14:paraId="271D9B5E" w14:textId="05C3EA01" w:rsidR="005C670F" w:rsidRPr="0025630C" w:rsidRDefault="005C670F" w:rsidP="00740088">
      <w:pPr>
        <w:pStyle w:val="tabletitle0"/>
      </w:pPr>
      <w:bookmarkStart w:id="92" w:name="_Toc19001664"/>
      <w:r w:rsidRPr="0025630C">
        <w:t xml:space="preserve">Table </w:t>
      </w:r>
      <w:r w:rsidR="000E2026">
        <w:t>7</w:t>
      </w:r>
      <w:r w:rsidR="00D12E2D">
        <w:tab/>
      </w:r>
      <w:r w:rsidRPr="0025630C">
        <w:t>Effects of student SES and school SES on PISA scores</w:t>
      </w:r>
      <w:bookmarkEnd w:id="92"/>
      <w:r w:rsidRPr="0025630C">
        <w:t xml:space="preserve"> </w:t>
      </w:r>
    </w:p>
    <w:tbl>
      <w:tblPr>
        <w:tblStyle w:val="TableGrid"/>
        <w:tblW w:w="494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9"/>
        <w:gridCol w:w="554"/>
        <w:gridCol w:w="580"/>
        <w:gridCol w:w="190"/>
        <w:gridCol w:w="726"/>
        <w:gridCol w:w="927"/>
        <w:gridCol w:w="485"/>
        <w:gridCol w:w="41"/>
        <w:gridCol w:w="326"/>
        <w:gridCol w:w="285"/>
        <w:gridCol w:w="72"/>
        <w:gridCol w:w="38"/>
        <w:gridCol w:w="456"/>
        <w:gridCol w:w="143"/>
        <w:gridCol w:w="460"/>
        <w:gridCol w:w="35"/>
        <w:gridCol w:w="359"/>
        <w:gridCol w:w="133"/>
        <w:gridCol w:w="118"/>
        <w:gridCol w:w="75"/>
      </w:tblGrid>
      <w:tr w:rsidR="008C3D53" w:rsidRPr="008C3D53" w14:paraId="387393B5" w14:textId="77777777" w:rsidTr="00D02E5D">
        <w:trPr>
          <w:gridAfter w:val="2"/>
          <w:wAfter w:w="123" w:type="pct"/>
          <w:trHeight w:val="300"/>
        </w:trPr>
        <w:tc>
          <w:tcPr>
            <w:tcW w:w="1173" w:type="pct"/>
            <w:tcBorders>
              <w:top w:val="single" w:sz="4" w:space="0" w:color="auto"/>
              <w:bottom w:val="nil"/>
            </w:tcBorders>
            <w:noWrap/>
          </w:tcPr>
          <w:p w14:paraId="35DE2A02" w14:textId="77777777" w:rsidR="005C670F" w:rsidRPr="00144E76" w:rsidRDefault="005C670F" w:rsidP="00285C39">
            <w:pPr>
              <w:pStyle w:val="Tabletext"/>
              <w:rPr>
                <w:b/>
                <w:lang w:eastAsia="en-AU"/>
              </w:rPr>
            </w:pPr>
          </w:p>
        </w:tc>
        <w:tc>
          <w:tcPr>
            <w:tcW w:w="844" w:type="pct"/>
            <w:gridSpan w:val="3"/>
            <w:tcBorders>
              <w:top w:val="single" w:sz="4" w:space="0" w:color="auto"/>
              <w:bottom w:val="nil"/>
            </w:tcBorders>
            <w:noWrap/>
          </w:tcPr>
          <w:p w14:paraId="26FE65CC" w14:textId="77777777" w:rsidR="005C670F" w:rsidRPr="00144E76" w:rsidRDefault="005C670F" w:rsidP="00144E76">
            <w:pPr>
              <w:pStyle w:val="Tabletext"/>
              <w:rPr>
                <w:b/>
                <w:color w:val="000000"/>
                <w:lang w:eastAsia="en-AU"/>
              </w:rPr>
            </w:pPr>
            <w:r w:rsidRPr="00144E76">
              <w:rPr>
                <w:b/>
                <w:color w:val="000000"/>
                <w:lang w:eastAsia="en-AU"/>
              </w:rPr>
              <w:t>Model 1</w:t>
            </w:r>
          </w:p>
        </w:tc>
        <w:tc>
          <w:tcPr>
            <w:tcW w:w="463" w:type="pct"/>
            <w:tcBorders>
              <w:top w:val="single" w:sz="4" w:space="0" w:color="auto"/>
              <w:bottom w:val="nil"/>
            </w:tcBorders>
          </w:tcPr>
          <w:p w14:paraId="0893F923" w14:textId="77777777" w:rsidR="005C670F" w:rsidRPr="00144E76" w:rsidRDefault="005C670F" w:rsidP="00144E76">
            <w:pPr>
              <w:pStyle w:val="Tabletext"/>
              <w:rPr>
                <w:b/>
                <w:color w:val="000000"/>
                <w:lang w:eastAsia="en-AU"/>
              </w:rPr>
            </w:pPr>
          </w:p>
        </w:tc>
        <w:tc>
          <w:tcPr>
            <w:tcW w:w="591" w:type="pct"/>
            <w:tcBorders>
              <w:top w:val="single" w:sz="4" w:space="0" w:color="auto"/>
              <w:bottom w:val="nil"/>
            </w:tcBorders>
          </w:tcPr>
          <w:p w14:paraId="2FC965C5" w14:textId="77777777" w:rsidR="005C670F" w:rsidRPr="00144E76" w:rsidRDefault="005C670F" w:rsidP="00144E76">
            <w:pPr>
              <w:pStyle w:val="Tabletext"/>
              <w:rPr>
                <w:b/>
                <w:color w:val="000000"/>
                <w:lang w:eastAsia="en-AU"/>
              </w:rPr>
            </w:pPr>
            <w:r w:rsidRPr="00144E76">
              <w:rPr>
                <w:b/>
                <w:color w:val="000000"/>
                <w:lang w:eastAsia="en-AU"/>
              </w:rPr>
              <w:t>Model 2</w:t>
            </w:r>
          </w:p>
        </w:tc>
        <w:tc>
          <w:tcPr>
            <w:tcW w:w="725" w:type="pct"/>
            <w:gridSpan w:val="4"/>
            <w:tcBorders>
              <w:top w:val="single" w:sz="4" w:space="0" w:color="auto"/>
              <w:bottom w:val="nil"/>
            </w:tcBorders>
          </w:tcPr>
          <w:p w14:paraId="5C51F6EE" w14:textId="77777777" w:rsidR="005C670F" w:rsidRPr="00144E76" w:rsidRDefault="005C670F" w:rsidP="00144E76">
            <w:pPr>
              <w:pStyle w:val="Tabletext"/>
              <w:rPr>
                <w:b/>
                <w:color w:val="000000"/>
                <w:lang w:eastAsia="en-AU"/>
              </w:rPr>
            </w:pPr>
          </w:p>
        </w:tc>
        <w:tc>
          <w:tcPr>
            <w:tcW w:w="1081" w:type="pct"/>
            <w:gridSpan w:val="8"/>
            <w:tcBorders>
              <w:top w:val="single" w:sz="4" w:space="0" w:color="auto"/>
              <w:bottom w:val="nil"/>
            </w:tcBorders>
          </w:tcPr>
          <w:p w14:paraId="4F7AE36C" w14:textId="77777777" w:rsidR="005C670F" w:rsidRPr="00144E76" w:rsidRDefault="005C670F" w:rsidP="00144E76">
            <w:pPr>
              <w:pStyle w:val="Tabletext"/>
              <w:rPr>
                <w:b/>
                <w:color w:val="000000"/>
                <w:lang w:eastAsia="en-AU"/>
              </w:rPr>
            </w:pPr>
            <w:r w:rsidRPr="00144E76">
              <w:rPr>
                <w:b/>
                <w:color w:val="000000"/>
                <w:lang w:eastAsia="en-AU"/>
              </w:rPr>
              <w:t>Model 3</w:t>
            </w:r>
          </w:p>
        </w:tc>
      </w:tr>
      <w:tr w:rsidR="008C3D53" w:rsidRPr="008C3D53" w14:paraId="5A3ED248" w14:textId="77777777" w:rsidTr="00D02E5D">
        <w:trPr>
          <w:gridAfter w:val="2"/>
          <w:wAfter w:w="123" w:type="pct"/>
          <w:trHeight w:val="300"/>
        </w:trPr>
        <w:tc>
          <w:tcPr>
            <w:tcW w:w="1173" w:type="pct"/>
            <w:tcBorders>
              <w:top w:val="nil"/>
              <w:bottom w:val="single" w:sz="4" w:space="0" w:color="auto"/>
            </w:tcBorders>
            <w:noWrap/>
            <w:hideMark/>
          </w:tcPr>
          <w:p w14:paraId="44F648B1" w14:textId="77777777" w:rsidR="005C670F" w:rsidRPr="00D678D3" w:rsidRDefault="005C670F" w:rsidP="00D678D3">
            <w:pPr>
              <w:pStyle w:val="Tabletext"/>
              <w:rPr>
                <w:b/>
                <w:lang w:eastAsia="en-AU"/>
              </w:rPr>
            </w:pPr>
            <w:r w:rsidRPr="00D678D3">
              <w:rPr>
                <w:b/>
                <w:color w:val="000000"/>
                <w:lang w:eastAsia="en-AU"/>
              </w:rPr>
              <w:t>Student SES Quartile</w:t>
            </w:r>
          </w:p>
        </w:tc>
        <w:tc>
          <w:tcPr>
            <w:tcW w:w="723" w:type="pct"/>
            <w:gridSpan w:val="2"/>
            <w:tcBorders>
              <w:top w:val="nil"/>
              <w:bottom w:val="single" w:sz="4" w:space="0" w:color="auto"/>
            </w:tcBorders>
            <w:noWrap/>
            <w:hideMark/>
          </w:tcPr>
          <w:p w14:paraId="374F8225" w14:textId="77777777" w:rsidR="005C670F" w:rsidRPr="00D678D3" w:rsidRDefault="005C670F" w:rsidP="00144E76">
            <w:pPr>
              <w:pStyle w:val="Tabletext"/>
              <w:rPr>
                <w:b/>
                <w:color w:val="000000"/>
                <w:lang w:eastAsia="en-AU"/>
              </w:rPr>
            </w:pPr>
            <w:r w:rsidRPr="00D678D3">
              <w:rPr>
                <w:b/>
                <w:color w:val="000000"/>
                <w:lang w:eastAsia="en-AU"/>
              </w:rPr>
              <w:t>Coef.</w:t>
            </w:r>
          </w:p>
        </w:tc>
        <w:tc>
          <w:tcPr>
            <w:tcW w:w="584" w:type="pct"/>
            <w:gridSpan w:val="2"/>
            <w:tcBorders>
              <w:top w:val="nil"/>
              <w:bottom w:val="single" w:sz="4" w:space="0" w:color="auto"/>
            </w:tcBorders>
          </w:tcPr>
          <w:p w14:paraId="0040A91A" w14:textId="102AD0EA" w:rsidR="005C670F" w:rsidRPr="00D678D3" w:rsidRDefault="005C670F" w:rsidP="00144E76">
            <w:pPr>
              <w:pStyle w:val="Tabletext"/>
              <w:rPr>
                <w:b/>
                <w:color w:val="000000"/>
                <w:lang w:eastAsia="en-AU"/>
              </w:rPr>
            </w:pPr>
            <w:r w:rsidRPr="00D678D3">
              <w:rPr>
                <w:b/>
                <w:color w:val="000000"/>
                <w:lang w:eastAsia="en-AU"/>
              </w:rPr>
              <w:t>Std.</w:t>
            </w:r>
            <w:r w:rsidR="00D02E5D">
              <w:rPr>
                <w:b/>
                <w:color w:val="000000"/>
                <w:lang w:eastAsia="en-AU"/>
              </w:rPr>
              <w:t xml:space="preserve"> </w:t>
            </w:r>
            <w:r w:rsidRPr="00D678D3">
              <w:rPr>
                <w:b/>
                <w:color w:val="000000"/>
                <w:lang w:eastAsia="en-AU"/>
              </w:rPr>
              <w:t>err.</w:t>
            </w:r>
          </w:p>
        </w:tc>
        <w:tc>
          <w:tcPr>
            <w:tcW w:w="591" w:type="pct"/>
            <w:tcBorders>
              <w:top w:val="nil"/>
              <w:bottom w:val="single" w:sz="4" w:space="0" w:color="auto"/>
            </w:tcBorders>
          </w:tcPr>
          <w:p w14:paraId="4BA3EDE3" w14:textId="77777777" w:rsidR="005C670F" w:rsidRPr="00D678D3" w:rsidRDefault="005C670F" w:rsidP="00144E76">
            <w:pPr>
              <w:pStyle w:val="Tabletext"/>
              <w:rPr>
                <w:b/>
                <w:color w:val="000000"/>
                <w:lang w:eastAsia="en-AU"/>
              </w:rPr>
            </w:pPr>
            <w:r w:rsidRPr="00D678D3">
              <w:rPr>
                <w:b/>
                <w:color w:val="000000"/>
                <w:lang w:eastAsia="en-AU"/>
              </w:rPr>
              <w:t>Coef.</w:t>
            </w:r>
          </w:p>
        </w:tc>
        <w:tc>
          <w:tcPr>
            <w:tcW w:w="725" w:type="pct"/>
            <w:gridSpan w:val="4"/>
            <w:tcBorders>
              <w:top w:val="nil"/>
              <w:bottom w:val="single" w:sz="4" w:space="0" w:color="auto"/>
            </w:tcBorders>
          </w:tcPr>
          <w:p w14:paraId="6AE9F415" w14:textId="217DD6ED" w:rsidR="005C670F" w:rsidRPr="00D678D3" w:rsidRDefault="005C670F" w:rsidP="00144E76">
            <w:pPr>
              <w:pStyle w:val="Tabletext"/>
              <w:rPr>
                <w:b/>
                <w:color w:val="000000"/>
                <w:lang w:eastAsia="en-AU"/>
              </w:rPr>
            </w:pPr>
            <w:r w:rsidRPr="00D678D3">
              <w:rPr>
                <w:b/>
                <w:color w:val="000000"/>
                <w:lang w:eastAsia="en-AU"/>
              </w:rPr>
              <w:t>Std.</w:t>
            </w:r>
            <w:r w:rsidR="00D02E5D">
              <w:rPr>
                <w:b/>
                <w:color w:val="000000"/>
                <w:lang w:eastAsia="en-AU"/>
              </w:rPr>
              <w:t xml:space="preserve"> </w:t>
            </w:r>
            <w:r w:rsidRPr="00D678D3">
              <w:rPr>
                <w:b/>
                <w:color w:val="000000"/>
                <w:lang w:eastAsia="en-AU"/>
              </w:rPr>
              <w:t>err.</w:t>
            </w:r>
          </w:p>
        </w:tc>
        <w:tc>
          <w:tcPr>
            <w:tcW w:w="452" w:type="pct"/>
            <w:gridSpan w:val="4"/>
            <w:tcBorders>
              <w:top w:val="nil"/>
              <w:bottom w:val="single" w:sz="4" w:space="0" w:color="auto"/>
            </w:tcBorders>
          </w:tcPr>
          <w:p w14:paraId="2C45B0F5" w14:textId="77777777" w:rsidR="005C670F" w:rsidRPr="00D678D3" w:rsidRDefault="005C670F" w:rsidP="00F347A2">
            <w:pPr>
              <w:pStyle w:val="Tabletext"/>
              <w:jc w:val="right"/>
              <w:rPr>
                <w:b/>
                <w:color w:val="000000"/>
                <w:lang w:eastAsia="en-AU"/>
              </w:rPr>
            </w:pPr>
            <w:r w:rsidRPr="00D678D3">
              <w:rPr>
                <w:b/>
                <w:color w:val="000000"/>
                <w:lang w:eastAsia="en-AU"/>
              </w:rPr>
              <w:t>Coef.</w:t>
            </w:r>
          </w:p>
        </w:tc>
        <w:tc>
          <w:tcPr>
            <w:tcW w:w="629" w:type="pct"/>
            <w:gridSpan w:val="4"/>
            <w:tcBorders>
              <w:top w:val="nil"/>
              <w:bottom w:val="single" w:sz="4" w:space="0" w:color="auto"/>
            </w:tcBorders>
          </w:tcPr>
          <w:p w14:paraId="08A26D11" w14:textId="01930EF5" w:rsidR="005C670F" w:rsidRPr="00D678D3" w:rsidRDefault="005C670F" w:rsidP="00D02E5D">
            <w:pPr>
              <w:pStyle w:val="Tabletext"/>
              <w:jc w:val="right"/>
              <w:rPr>
                <w:b/>
                <w:color w:val="000000"/>
                <w:lang w:eastAsia="en-AU"/>
              </w:rPr>
            </w:pPr>
            <w:r w:rsidRPr="00D678D3">
              <w:rPr>
                <w:b/>
                <w:color w:val="000000"/>
                <w:lang w:eastAsia="en-AU"/>
              </w:rPr>
              <w:t>Std.</w:t>
            </w:r>
            <w:r w:rsidR="00D02E5D">
              <w:rPr>
                <w:b/>
                <w:color w:val="000000"/>
                <w:lang w:eastAsia="en-AU"/>
              </w:rPr>
              <w:t xml:space="preserve"> </w:t>
            </w:r>
            <w:r w:rsidRPr="00D678D3">
              <w:rPr>
                <w:b/>
                <w:color w:val="000000"/>
                <w:lang w:eastAsia="en-AU"/>
              </w:rPr>
              <w:t>err.</w:t>
            </w:r>
          </w:p>
        </w:tc>
      </w:tr>
      <w:tr w:rsidR="008C3D53" w:rsidRPr="00D02E5D" w14:paraId="337160C0" w14:textId="77777777" w:rsidTr="00D02E5D">
        <w:trPr>
          <w:trHeight w:val="300"/>
        </w:trPr>
        <w:tc>
          <w:tcPr>
            <w:tcW w:w="1173" w:type="pct"/>
            <w:noWrap/>
            <w:hideMark/>
          </w:tcPr>
          <w:p w14:paraId="3715FB55" w14:textId="77777777" w:rsidR="005C670F" w:rsidRPr="00144E76" w:rsidRDefault="005C670F" w:rsidP="00144E76">
            <w:pPr>
              <w:pStyle w:val="Tabletext"/>
              <w:rPr>
                <w:color w:val="000000"/>
                <w:lang w:eastAsia="en-AU"/>
              </w:rPr>
            </w:pPr>
            <w:r w:rsidRPr="00144E76">
              <w:rPr>
                <w:color w:val="000000"/>
                <w:lang w:eastAsia="en-AU"/>
              </w:rPr>
              <w:t>Quartile 1 (ref.)</w:t>
            </w:r>
          </w:p>
        </w:tc>
        <w:tc>
          <w:tcPr>
            <w:tcW w:w="353" w:type="pct"/>
            <w:noWrap/>
            <w:hideMark/>
          </w:tcPr>
          <w:p w14:paraId="6157CA49" w14:textId="77777777" w:rsidR="005C670F" w:rsidRPr="00D02E5D" w:rsidRDefault="005C670F" w:rsidP="00D02E5D">
            <w:pPr>
              <w:pStyle w:val="Tabletext"/>
            </w:pPr>
          </w:p>
        </w:tc>
        <w:tc>
          <w:tcPr>
            <w:tcW w:w="370" w:type="pct"/>
            <w:noWrap/>
            <w:hideMark/>
          </w:tcPr>
          <w:p w14:paraId="7FF84DA0" w14:textId="77777777" w:rsidR="005C670F" w:rsidRPr="00D02E5D" w:rsidRDefault="005C670F" w:rsidP="00D02E5D">
            <w:pPr>
              <w:pStyle w:val="Tabletext"/>
            </w:pPr>
          </w:p>
        </w:tc>
        <w:tc>
          <w:tcPr>
            <w:tcW w:w="584" w:type="pct"/>
            <w:gridSpan w:val="2"/>
          </w:tcPr>
          <w:p w14:paraId="73C6DDAC" w14:textId="77777777" w:rsidR="005C670F" w:rsidRPr="00D02E5D" w:rsidRDefault="005C670F" w:rsidP="00D02E5D">
            <w:pPr>
              <w:pStyle w:val="Tabletext"/>
            </w:pPr>
          </w:p>
        </w:tc>
        <w:tc>
          <w:tcPr>
            <w:tcW w:w="900" w:type="pct"/>
            <w:gridSpan w:val="2"/>
          </w:tcPr>
          <w:p w14:paraId="2F32F4B7" w14:textId="77777777" w:rsidR="005C670F" w:rsidRPr="00D02E5D" w:rsidRDefault="005C670F" w:rsidP="00D02E5D">
            <w:pPr>
              <w:pStyle w:val="Tabletext"/>
            </w:pPr>
          </w:p>
        </w:tc>
        <w:tc>
          <w:tcPr>
            <w:tcW w:w="462" w:type="pct"/>
            <w:gridSpan w:val="4"/>
          </w:tcPr>
          <w:p w14:paraId="50E2D33E" w14:textId="77777777" w:rsidR="005C670F" w:rsidRPr="00D02E5D" w:rsidRDefault="005C670F" w:rsidP="00D02E5D">
            <w:pPr>
              <w:pStyle w:val="Tabletext"/>
            </w:pPr>
          </w:p>
        </w:tc>
        <w:tc>
          <w:tcPr>
            <w:tcW w:w="699" w:type="pct"/>
            <w:gridSpan w:val="4"/>
          </w:tcPr>
          <w:p w14:paraId="28CEC54C" w14:textId="77777777" w:rsidR="005C670F" w:rsidRPr="00D02E5D" w:rsidRDefault="005C670F" w:rsidP="00D02E5D">
            <w:pPr>
              <w:pStyle w:val="Tabletext"/>
            </w:pPr>
          </w:p>
        </w:tc>
        <w:tc>
          <w:tcPr>
            <w:tcW w:w="459" w:type="pct"/>
            <w:gridSpan w:val="5"/>
          </w:tcPr>
          <w:p w14:paraId="1F73AAEF" w14:textId="77777777" w:rsidR="005C670F" w:rsidRPr="00D02E5D" w:rsidRDefault="005C670F" w:rsidP="00D02E5D">
            <w:pPr>
              <w:pStyle w:val="Tabletext"/>
            </w:pPr>
          </w:p>
        </w:tc>
      </w:tr>
      <w:tr w:rsidR="008C3D53" w:rsidRPr="00D02E5D" w14:paraId="25BD3B60" w14:textId="77777777" w:rsidTr="00D02E5D">
        <w:trPr>
          <w:gridAfter w:val="3"/>
          <w:wAfter w:w="208" w:type="pct"/>
          <w:trHeight w:val="300"/>
        </w:trPr>
        <w:tc>
          <w:tcPr>
            <w:tcW w:w="1173" w:type="pct"/>
            <w:noWrap/>
            <w:hideMark/>
          </w:tcPr>
          <w:p w14:paraId="1F997BFF" w14:textId="77777777" w:rsidR="005C670F" w:rsidRPr="00285C39" w:rsidRDefault="005C670F" w:rsidP="00285C39">
            <w:pPr>
              <w:pStyle w:val="Tabletext"/>
              <w:rPr>
                <w:color w:val="000000"/>
                <w:lang w:eastAsia="en-AU"/>
              </w:rPr>
            </w:pPr>
            <w:r w:rsidRPr="00285C39">
              <w:rPr>
                <w:color w:val="000000"/>
                <w:lang w:eastAsia="en-AU"/>
              </w:rPr>
              <w:t>Quartile 2</w:t>
            </w:r>
          </w:p>
        </w:tc>
        <w:tc>
          <w:tcPr>
            <w:tcW w:w="723" w:type="pct"/>
            <w:gridSpan w:val="2"/>
            <w:noWrap/>
            <w:hideMark/>
          </w:tcPr>
          <w:p w14:paraId="5E369BBC" w14:textId="77777777" w:rsidR="005C670F" w:rsidRPr="00D02E5D" w:rsidRDefault="005C670F" w:rsidP="00D02E5D">
            <w:pPr>
              <w:pStyle w:val="Tabletext"/>
            </w:pPr>
            <w:r w:rsidRPr="00D02E5D">
              <w:t>29.02***</w:t>
            </w:r>
          </w:p>
        </w:tc>
        <w:tc>
          <w:tcPr>
            <w:tcW w:w="584" w:type="pct"/>
            <w:gridSpan w:val="2"/>
          </w:tcPr>
          <w:p w14:paraId="70015AAE" w14:textId="77777777" w:rsidR="005C670F" w:rsidRPr="00D02E5D" w:rsidRDefault="005C670F" w:rsidP="00D02E5D">
            <w:pPr>
              <w:pStyle w:val="Tabletext"/>
            </w:pPr>
            <w:r w:rsidRPr="00D02E5D">
              <w:t>3.42</w:t>
            </w:r>
          </w:p>
        </w:tc>
        <w:tc>
          <w:tcPr>
            <w:tcW w:w="591" w:type="pct"/>
          </w:tcPr>
          <w:p w14:paraId="7F00A7D0" w14:textId="77777777" w:rsidR="005C670F" w:rsidRPr="00D02E5D" w:rsidRDefault="005C670F" w:rsidP="00D02E5D">
            <w:pPr>
              <w:pStyle w:val="Tabletext"/>
            </w:pPr>
          </w:p>
        </w:tc>
        <w:tc>
          <w:tcPr>
            <w:tcW w:w="543" w:type="pct"/>
            <w:gridSpan w:val="3"/>
          </w:tcPr>
          <w:p w14:paraId="5732D843" w14:textId="77777777" w:rsidR="005C670F" w:rsidRPr="00D02E5D" w:rsidRDefault="005C670F" w:rsidP="00D02E5D">
            <w:pPr>
              <w:pStyle w:val="Tabletext"/>
            </w:pPr>
          </w:p>
        </w:tc>
        <w:tc>
          <w:tcPr>
            <w:tcW w:w="543" w:type="pct"/>
            <w:gridSpan w:val="4"/>
          </w:tcPr>
          <w:p w14:paraId="549F6C5D" w14:textId="77777777" w:rsidR="005C670F" w:rsidRPr="00D02E5D" w:rsidRDefault="005C670F" w:rsidP="00D02E5D">
            <w:pPr>
              <w:pStyle w:val="Tabletext"/>
            </w:pPr>
          </w:p>
        </w:tc>
        <w:tc>
          <w:tcPr>
            <w:tcW w:w="635" w:type="pct"/>
            <w:gridSpan w:val="4"/>
          </w:tcPr>
          <w:p w14:paraId="030D0674" w14:textId="77777777" w:rsidR="005C670F" w:rsidRPr="00D02E5D" w:rsidRDefault="005C670F" w:rsidP="00D02E5D">
            <w:pPr>
              <w:pStyle w:val="Tabletext"/>
            </w:pPr>
          </w:p>
        </w:tc>
      </w:tr>
      <w:tr w:rsidR="008C3D53" w:rsidRPr="00D02E5D" w14:paraId="21054C73" w14:textId="77777777" w:rsidTr="00D02E5D">
        <w:trPr>
          <w:gridAfter w:val="3"/>
          <w:wAfter w:w="208" w:type="pct"/>
          <w:trHeight w:val="300"/>
        </w:trPr>
        <w:tc>
          <w:tcPr>
            <w:tcW w:w="1173" w:type="pct"/>
            <w:noWrap/>
            <w:hideMark/>
          </w:tcPr>
          <w:p w14:paraId="679BA44C" w14:textId="77777777" w:rsidR="005C670F" w:rsidRPr="00D678D3" w:rsidRDefault="005C670F" w:rsidP="00285C39">
            <w:pPr>
              <w:pStyle w:val="Tabletext"/>
              <w:rPr>
                <w:color w:val="000000"/>
                <w:lang w:eastAsia="en-AU"/>
              </w:rPr>
            </w:pPr>
            <w:r w:rsidRPr="00D678D3">
              <w:rPr>
                <w:color w:val="000000"/>
                <w:lang w:eastAsia="en-AU"/>
              </w:rPr>
              <w:t>Quartile 3</w:t>
            </w:r>
          </w:p>
        </w:tc>
        <w:tc>
          <w:tcPr>
            <w:tcW w:w="723" w:type="pct"/>
            <w:gridSpan w:val="2"/>
            <w:noWrap/>
            <w:hideMark/>
          </w:tcPr>
          <w:p w14:paraId="58FAE0F5" w14:textId="77777777" w:rsidR="005C670F" w:rsidRPr="00D02E5D" w:rsidRDefault="005C670F" w:rsidP="00D02E5D">
            <w:pPr>
              <w:pStyle w:val="Tabletext"/>
            </w:pPr>
            <w:r w:rsidRPr="00D02E5D">
              <w:t>51.86***</w:t>
            </w:r>
          </w:p>
        </w:tc>
        <w:tc>
          <w:tcPr>
            <w:tcW w:w="584" w:type="pct"/>
            <w:gridSpan w:val="2"/>
          </w:tcPr>
          <w:p w14:paraId="2B94FFAE" w14:textId="77777777" w:rsidR="005C670F" w:rsidRPr="00D02E5D" w:rsidRDefault="005C670F" w:rsidP="00D02E5D">
            <w:pPr>
              <w:pStyle w:val="Tabletext"/>
            </w:pPr>
            <w:r w:rsidRPr="00D02E5D">
              <w:t>3.60</w:t>
            </w:r>
          </w:p>
        </w:tc>
        <w:tc>
          <w:tcPr>
            <w:tcW w:w="591" w:type="pct"/>
          </w:tcPr>
          <w:p w14:paraId="0E21868A" w14:textId="77777777" w:rsidR="005C670F" w:rsidRPr="00D02E5D" w:rsidRDefault="005C670F" w:rsidP="00D02E5D">
            <w:pPr>
              <w:pStyle w:val="Tabletext"/>
            </w:pPr>
          </w:p>
        </w:tc>
        <w:tc>
          <w:tcPr>
            <w:tcW w:w="543" w:type="pct"/>
            <w:gridSpan w:val="3"/>
          </w:tcPr>
          <w:p w14:paraId="373304D2" w14:textId="77777777" w:rsidR="005C670F" w:rsidRPr="00D02E5D" w:rsidRDefault="005C670F" w:rsidP="00D02E5D">
            <w:pPr>
              <w:pStyle w:val="Tabletext"/>
            </w:pPr>
          </w:p>
        </w:tc>
        <w:tc>
          <w:tcPr>
            <w:tcW w:w="543" w:type="pct"/>
            <w:gridSpan w:val="4"/>
          </w:tcPr>
          <w:p w14:paraId="3B4CB7F8" w14:textId="77777777" w:rsidR="005C670F" w:rsidRPr="00D02E5D" w:rsidRDefault="005C670F" w:rsidP="00D02E5D">
            <w:pPr>
              <w:pStyle w:val="Tabletext"/>
            </w:pPr>
          </w:p>
        </w:tc>
        <w:tc>
          <w:tcPr>
            <w:tcW w:w="635" w:type="pct"/>
            <w:gridSpan w:val="4"/>
          </w:tcPr>
          <w:p w14:paraId="093A6A1B" w14:textId="77777777" w:rsidR="005C670F" w:rsidRPr="00D02E5D" w:rsidRDefault="005C670F" w:rsidP="00D02E5D">
            <w:pPr>
              <w:pStyle w:val="Tabletext"/>
            </w:pPr>
          </w:p>
        </w:tc>
      </w:tr>
      <w:tr w:rsidR="008C3D53" w:rsidRPr="00D02E5D" w14:paraId="5F820294" w14:textId="77777777" w:rsidTr="00D02E5D">
        <w:trPr>
          <w:gridAfter w:val="3"/>
          <w:wAfter w:w="208" w:type="pct"/>
          <w:trHeight w:val="300"/>
        </w:trPr>
        <w:tc>
          <w:tcPr>
            <w:tcW w:w="1173" w:type="pct"/>
            <w:noWrap/>
            <w:hideMark/>
          </w:tcPr>
          <w:p w14:paraId="6352ABEC" w14:textId="77777777" w:rsidR="005C670F" w:rsidRPr="00285C39" w:rsidRDefault="005C670F" w:rsidP="00285C39">
            <w:pPr>
              <w:pStyle w:val="Tabletext"/>
              <w:rPr>
                <w:color w:val="000000"/>
                <w:lang w:eastAsia="en-AU"/>
              </w:rPr>
            </w:pPr>
            <w:r w:rsidRPr="00285C39">
              <w:rPr>
                <w:color w:val="000000"/>
                <w:lang w:eastAsia="en-AU"/>
              </w:rPr>
              <w:t>Quartile 4</w:t>
            </w:r>
          </w:p>
        </w:tc>
        <w:tc>
          <w:tcPr>
            <w:tcW w:w="723" w:type="pct"/>
            <w:gridSpan w:val="2"/>
            <w:noWrap/>
            <w:hideMark/>
          </w:tcPr>
          <w:p w14:paraId="759A55E5" w14:textId="77777777" w:rsidR="005C670F" w:rsidRPr="00D02E5D" w:rsidRDefault="005C670F" w:rsidP="00D02E5D">
            <w:pPr>
              <w:pStyle w:val="Tabletext"/>
            </w:pPr>
            <w:r w:rsidRPr="00D02E5D">
              <w:t>77.72***</w:t>
            </w:r>
          </w:p>
        </w:tc>
        <w:tc>
          <w:tcPr>
            <w:tcW w:w="584" w:type="pct"/>
            <w:gridSpan w:val="2"/>
          </w:tcPr>
          <w:p w14:paraId="3CDE383D" w14:textId="77777777" w:rsidR="005C670F" w:rsidRPr="00D02E5D" w:rsidRDefault="005C670F" w:rsidP="00D02E5D">
            <w:pPr>
              <w:pStyle w:val="Tabletext"/>
            </w:pPr>
            <w:r w:rsidRPr="00D02E5D">
              <w:t>3.72</w:t>
            </w:r>
          </w:p>
        </w:tc>
        <w:tc>
          <w:tcPr>
            <w:tcW w:w="591" w:type="pct"/>
          </w:tcPr>
          <w:p w14:paraId="3420545A" w14:textId="77777777" w:rsidR="005C670F" w:rsidRPr="00D02E5D" w:rsidRDefault="005C670F" w:rsidP="00D02E5D">
            <w:pPr>
              <w:pStyle w:val="Tabletext"/>
            </w:pPr>
          </w:p>
        </w:tc>
        <w:tc>
          <w:tcPr>
            <w:tcW w:w="543" w:type="pct"/>
            <w:gridSpan w:val="3"/>
          </w:tcPr>
          <w:p w14:paraId="5750D284" w14:textId="77777777" w:rsidR="005C670F" w:rsidRPr="00D02E5D" w:rsidRDefault="005C670F" w:rsidP="00D02E5D">
            <w:pPr>
              <w:pStyle w:val="Tabletext"/>
            </w:pPr>
          </w:p>
        </w:tc>
        <w:tc>
          <w:tcPr>
            <w:tcW w:w="543" w:type="pct"/>
            <w:gridSpan w:val="4"/>
          </w:tcPr>
          <w:p w14:paraId="52A8F947" w14:textId="77777777" w:rsidR="005C670F" w:rsidRPr="00D02E5D" w:rsidRDefault="005C670F" w:rsidP="00D02E5D">
            <w:pPr>
              <w:pStyle w:val="Tabletext"/>
            </w:pPr>
          </w:p>
        </w:tc>
        <w:tc>
          <w:tcPr>
            <w:tcW w:w="635" w:type="pct"/>
            <w:gridSpan w:val="4"/>
          </w:tcPr>
          <w:p w14:paraId="37700524" w14:textId="77777777" w:rsidR="005C670F" w:rsidRPr="00D02E5D" w:rsidRDefault="005C670F" w:rsidP="00D02E5D">
            <w:pPr>
              <w:pStyle w:val="Tabletext"/>
            </w:pPr>
          </w:p>
        </w:tc>
      </w:tr>
      <w:tr w:rsidR="008C3D53" w:rsidRPr="00D02E5D" w14:paraId="7BDEDFB0" w14:textId="77777777" w:rsidTr="00D02E5D">
        <w:trPr>
          <w:trHeight w:val="300"/>
        </w:trPr>
        <w:tc>
          <w:tcPr>
            <w:tcW w:w="1173" w:type="pct"/>
            <w:noWrap/>
          </w:tcPr>
          <w:p w14:paraId="19A9D311" w14:textId="77777777" w:rsidR="005C670F" w:rsidRPr="00144E76" w:rsidRDefault="005C670F" w:rsidP="00144E76">
            <w:pPr>
              <w:pStyle w:val="Tabletext"/>
              <w:rPr>
                <w:b/>
                <w:color w:val="000000"/>
                <w:lang w:eastAsia="en-AU"/>
              </w:rPr>
            </w:pPr>
            <w:r w:rsidRPr="00144E76">
              <w:rPr>
                <w:b/>
                <w:color w:val="000000"/>
                <w:lang w:eastAsia="en-AU"/>
              </w:rPr>
              <w:t>School SES</w:t>
            </w:r>
          </w:p>
        </w:tc>
        <w:tc>
          <w:tcPr>
            <w:tcW w:w="353" w:type="pct"/>
            <w:noWrap/>
          </w:tcPr>
          <w:p w14:paraId="2312EAD9" w14:textId="77777777" w:rsidR="005C670F" w:rsidRPr="00D02E5D" w:rsidRDefault="005C670F" w:rsidP="00D02E5D">
            <w:pPr>
              <w:pStyle w:val="Tabletext"/>
            </w:pPr>
          </w:p>
        </w:tc>
        <w:tc>
          <w:tcPr>
            <w:tcW w:w="370" w:type="pct"/>
            <w:noWrap/>
          </w:tcPr>
          <w:p w14:paraId="27C85F19" w14:textId="77777777" w:rsidR="005C670F" w:rsidRPr="00D02E5D" w:rsidRDefault="005C670F" w:rsidP="00D02E5D">
            <w:pPr>
              <w:pStyle w:val="Tabletext"/>
            </w:pPr>
          </w:p>
        </w:tc>
        <w:tc>
          <w:tcPr>
            <w:tcW w:w="584" w:type="pct"/>
            <w:gridSpan w:val="2"/>
          </w:tcPr>
          <w:p w14:paraId="4CF51ADF" w14:textId="77777777" w:rsidR="005C670F" w:rsidRPr="00D02E5D" w:rsidRDefault="005C670F" w:rsidP="00D02E5D">
            <w:pPr>
              <w:pStyle w:val="Tabletext"/>
            </w:pPr>
          </w:p>
        </w:tc>
        <w:tc>
          <w:tcPr>
            <w:tcW w:w="900" w:type="pct"/>
            <w:gridSpan w:val="2"/>
          </w:tcPr>
          <w:p w14:paraId="7214C037" w14:textId="77777777" w:rsidR="005C670F" w:rsidRPr="00D02E5D" w:rsidRDefault="005C670F" w:rsidP="00D02E5D">
            <w:pPr>
              <w:pStyle w:val="Tabletext"/>
            </w:pPr>
          </w:p>
        </w:tc>
        <w:tc>
          <w:tcPr>
            <w:tcW w:w="462" w:type="pct"/>
            <w:gridSpan w:val="4"/>
          </w:tcPr>
          <w:p w14:paraId="211EEAB4" w14:textId="77777777" w:rsidR="005C670F" w:rsidRPr="00D02E5D" w:rsidRDefault="005C670F" w:rsidP="00D02E5D">
            <w:pPr>
              <w:pStyle w:val="Tabletext"/>
            </w:pPr>
          </w:p>
        </w:tc>
        <w:tc>
          <w:tcPr>
            <w:tcW w:w="699" w:type="pct"/>
            <w:gridSpan w:val="4"/>
          </w:tcPr>
          <w:p w14:paraId="3A1EC472" w14:textId="77777777" w:rsidR="005C670F" w:rsidRPr="00D02E5D" w:rsidRDefault="005C670F" w:rsidP="00D02E5D">
            <w:pPr>
              <w:pStyle w:val="Tabletext"/>
            </w:pPr>
          </w:p>
        </w:tc>
        <w:tc>
          <w:tcPr>
            <w:tcW w:w="459" w:type="pct"/>
            <w:gridSpan w:val="5"/>
          </w:tcPr>
          <w:p w14:paraId="49632713" w14:textId="77777777" w:rsidR="005C670F" w:rsidRPr="00D02E5D" w:rsidRDefault="005C670F" w:rsidP="00D02E5D">
            <w:pPr>
              <w:pStyle w:val="Tabletext"/>
            </w:pPr>
          </w:p>
        </w:tc>
      </w:tr>
      <w:tr w:rsidR="008C3D53" w:rsidRPr="00D02E5D" w14:paraId="5CFB5507" w14:textId="77777777" w:rsidTr="00D02E5D">
        <w:trPr>
          <w:trHeight w:val="300"/>
        </w:trPr>
        <w:tc>
          <w:tcPr>
            <w:tcW w:w="1173" w:type="pct"/>
            <w:noWrap/>
          </w:tcPr>
          <w:p w14:paraId="30385056" w14:textId="77777777" w:rsidR="005C670F" w:rsidRPr="00144E76" w:rsidRDefault="005C670F" w:rsidP="00144E76">
            <w:pPr>
              <w:pStyle w:val="Tabletext"/>
              <w:rPr>
                <w:color w:val="000000"/>
                <w:lang w:eastAsia="en-AU"/>
              </w:rPr>
            </w:pPr>
            <w:r w:rsidRPr="00144E76">
              <w:rPr>
                <w:color w:val="000000"/>
                <w:lang w:eastAsia="en-AU"/>
              </w:rPr>
              <w:t>Quartile 1 (ref.)</w:t>
            </w:r>
          </w:p>
        </w:tc>
        <w:tc>
          <w:tcPr>
            <w:tcW w:w="353" w:type="pct"/>
            <w:noWrap/>
          </w:tcPr>
          <w:p w14:paraId="7B6EAE35" w14:textId="77777777" w:rsidR="005C670F" w:rsidRPr="00D02E5D" w:rsidRDefault="005C670F" w:rsidP="00D02E5D">
            <w:pPr>
              <w:pStyle w:val="Tabletext"/>
            </w:pPr>
          </w:p>
        </w:tc>
        <w:tc>
          <w:tcPr>
            <w:tcW w:w="370" w:type="pct"/>
            <w:noWrap/>
          </w:tcPr>
          <w:p w14:paraId="601E2595" w14:textId="77777777" w:rsidR="005C670F" w:rsidRPr="00D02E5D" w:rsidRDefault="005C670F" w:rsidP="00D02E5D">
            <w:pPr>
              <w:pStyle w:val="Tabletext"/>
            </w:pPr>
          </w:p>
        </w:tc>
        <w:tc>
          <w:tcPr>
            <w:tcW w:w="584" w:type="pct"/>
            <w:gridSpan w:val="2"/>
          </w:tcPr>
          <w:p w14:paraId="7F94A88E" w14:textId="77777777" w:rsidR="005C670F" w:rsidRPr="00D02E5D" w:rsidRDefault="005C670F" w:rsidP="00D02E5D">
            <w:pPr>
              <w:pStyle w:val="Tabletext"/>
            </w:pPr>
          </w:p>
        </w:tc>
        <w:tc>
          <w:tcPr>
            <w:tcW w:w="900" w:type="pct"/>
            <w:gridSpan w:val="2"/>
          </w:tcPr>
          <w:p w14:paraId="05135137" w14:textId="77777777" w:rsidR="005C670F" w:rsidRPr="00D02E5D" w:rsidRDefault="005C670F" w:rsidP="00D02E5D">
            <w:pPr>
              <w:pStyle w:val="Tabletext"/>
            </w:pPr>
          </w:p>
        </w:tc>
        <w:tc>
          <w:tcPr>
            <w:tcW w:w="462" w:type="pct"/>
            <w:gridSpan w:val="4"/>
          </w:tcPr>
          <w:p w14:paraId="511F67BF" w14:textId="77777777" w:rsidR="005C670F" w:rsidRPr="00D02E5D" w:rsidRDefault="005C670F" w:rsidP="00D02E5D">
            <w:pPr>
              <w:pStyle w:val="Tabletext"/>
            </w:pPr>
          </w:p>
        </w:tc>
        <w:tc>
          <w:tcPr>
            <w:tcW w:w="699" w:type="pct"/>
            <w:gridSpan w:val="4"/>
          </w:tcPr>
          <w:p w14:paraId="3CDBF024" w14:textId="77777777" w:rsidR="005C670F" w:rsidRPr="00D02E5D" w:rsidRDefault="005C670F" w:rsidP="00D02E5D">
            <w:pPr>
              <w:pStyle w:val="Tabletext"/>
            </w:pPr>
          </w:p>
        </w:tc>
        <w:tc>
          <w:tcPr>
            <w:tcW w:w="459" w:type="pct"/>
            <w:gridSpan w:val="5"/>
          </w:tcPr>
          <w:p w14:paraId="5C98622E" w14:textId="77777777" w:rsidR="005C670F" w:rsidRPr="00D02E5D" w:rsidRDefault="005C670F" w:rsidP="00D02E5D">
            <w:pPr>
              <w:pStyle w:val="Tabletext"/>
            </w:pPr>
          </w:p>
        </w:tc>
      </w:tr>
      <w:tr w:rsidR="008C3D53" w:rsidRPr="00D02E5D" w14:paraId="543B51B9" w14:textId="77777777" w:rsidTr="00D02E5D">
        <w:trPr>
          <w:trHeight w:val="300"/>
        </w:trPr>
        <w:tc>
          <w:tcPr>
            <w:tcW w:w="1173" w:type="pct"/>
            <w:noWrap/>
          </w:tcPr>
          <w:p w14:paraId="30F9D0F9" w14:textId="77777777" w:rsidR="005C670F" w:rsidRPr="00144E76" w:rsidRDefault="005C670F" w:rsidP="00144E76">
            <w:pPr>
              <w:pStyle w:val="Tabletext"/>
              <w:rPr>
                <w:color w:val="000000"/>
                <w:lang w:eastAsia="en-AU"/>
              </w:rPr>
            </w:pPr>
            <w:r w:rsidRPr="00144E76">
              <w:rPr>
                <w:color w:val="000000"/>
                <w:lang w:eastAsia="en-AU"/>
              </w:rPr>
              <w:t>Quartile 2</w:t>
            </w:r>
          </w:p>
        </w:tc>
        <w:tc>
          <w:tcPr>
            <w:tcW w:w="353" w:type="pct"/>
            <w:noWrap/>
            <w:hideMark/>
          </w:tcPr>
          <w:p w14:paraId="7AD2BBB7" w14:textId="77777777" w:rsidR="005C670F" w:rsidRPr="00D02E5D" w:rsidRDefault="005C670F" w:rsidP="00D02E5D">
            <w:pPr>
              <w:pStyle w:val="Tabletext"/>
            </w:pPr>
          </w:p>
        </w:tc>
        <w:tc>
          <w:tcPr>
            <w:tcW w:w="370" w:type="pct"/>
            <w:noWrap/>
            <w:hideMark/>
          </w:tcPr>
          <w:p w14:paraId="017864D4" w14:textId="77777777" w:rsidR="005C670F" w:rsidRPr="00D02E5D" w:rsidRDefault="005C670F" w:rsidP="00D02E5D">
            <w:pPr>
              <w:pStyle w:val="Tabletext"/>
            </w:pPr>
          </w:p>
        </w:tc>
        <w:tc>
          <w:tcPr>
            <w:tcW w:w="584" w:type="pct"/>
            <w:gridSpan w:val="2"/>
          </w:tcPr>
          <w:p w14:paraId="02C0CA8C" w14:textId="77777777" w:rsidR="005C670F" w:rsidRPr="00D02E5D" w:rsidRDefault="005C670F" w:rsidP="00D02E5D">
            <w:pPr>
              <w:pStyle w:val="Tabletext"/>
            </w:pPr>
          </w:p>
        </w:tc>
        <w:tc>
          <w:tcPr>
            <w:tcW w:w="900" w:type="pct"/>
            <w:gridSpan w:val="2"/>
          </w:tcPr>
          <w:p w14:paraId="392712CF" w14:textId="77777777" w:rsidR="005C670F" w:rsidRPr="00D02E5D" w:rsidRDefault="005C670F" w:rsidP="00D02E5D">
            <w:pPr>
              <w:pStyle w:val="Tabletext"/>
            </w:pPr>
            <w:r w:rsidRPr="00D02E5D">
              <w:t>28.99***</w:t>
            </w:r>
          </w:p>
        </w:tc>
        <w:tc>
          <w:tcPr>
            <w:tcW w:w="462" w:type="pct"/>
            <w:gridSpan w:val="4"/>
          </w:tcPr>
          <w:p w14:paraId="2B096C26" w14:textId="77777777" w:rsidR="005C670F" w:rsidRPr="00D02E5D" w:rsidRDefault="005C670F" w:rsidP="00D02E5D">
            <w:pPr>
              <w:pStyle w:val="Tabletext"/>
            </w:pPr>
            <w:r w:rsidRPr="00D02E5D">
              <w:t>4.76</w:t>
            </w:r>
          </w:p>
        </w:tc>
        <w:tc>
          <w:tcPr>
            <w:tcW w:w="699" w:type="pct"/>
            <w:gridSpan w:val="4"/>
          </w:tcPr>
          <w:p w14:paraId="2386A9F9" w14:textId="77777777" w:rsidR="005C670F" w:rsidRPr="00D02E5D" w:rsidRDefault="005C670F" w:rsidP="00D02E5D">
            <w:pPr>
              <w:pStyle w:val="Tabletext"/>
            </w:pPr>
          </w:p>
        </w:tc>
        <w:tc>
          <w:tcPr>
            <w:tcW w:w="459" w:type="pct"/>
            <w:gridSpan w:val="5"/>
          </w:tcPr>
          <w:p w14:paraId="003389D5" w14:textId="77777777" w:rsidR="005C670F" w:rsidRPr="00D02E5D" w:rsidRDefault="005C670F" w:rsidP="00D02E5D">
            <w:pPr>
              <w:pStyle w:val="Tabletext"/>
            </w:pPr>
          </w:p>
        </w:tc>
      </w:tr>
      <w:tr w:rsidR="008C3D53" w:rsidRPr="00D02E5D" w14:paraId="193A94DB" w14:textId="77777777" w:rsidTr="00D02E5D">
        <w:trPr>
          <w:trHeight w:val="300"/>
        </w:trPr>
        <w:tc>
          <w:tcPr>
            <w:tcW w:w="1173" w:type="pct"/>
            <w:noWrap/>
          </w:tcPr>
          <w:p w14:paraId="02BAF988" w14:textId="77777777" w:rsidR="005C670F" w:rsidRPr="00144E76" w:rsidRDefault="005C670F" w:rsidP="00144E76">
            <w:pPr>
              <w:pStyle w:val="Tabletext"/>
              <w:rPr>
                <w:color w:val="000000"/>
                <w:lang w:eastAsia="en-AU"/>
              </w:rPr>
            </w:pPr>
            <w:r w:rsidRPr="00144E76">
              <w:rPr>
                <w:color w:val="000000"/>
                <w:lang w:eastAsia="en-AU"/>
              </w:rPr>
              <w:t>Quartile 3</w:t>
            </w:r>
          </w:p>
        </w:tc>
        <w:tc>
          <w:tcPr>
            <w:tcW w:w="353" w:type="pct"/>
            <w:noWrap/>
            <w:hideMark/>
          </w:tcPr>
          <w:p w14:paraId="5A0397AB" w14:textId="77777777" w:rsidR="005C670F" w:rsidRPr="00D02E5D" w:rsidRDefault="005C670F" w:rsidP="00D02E5D">
            <w:pPr>
              <w:pStyle w:val="Tabletext"/>
            </w:pPr>
          </w:p>
        </w:tc>
        <w:tc>
          <w:tcPr>
            <w:tcW w:w="370" w:type="pct"/>
            <w:noWrap/>
            <w:hideMark/>
          </w:tcPr>
          <w:p w14:paraId="56DE5CFB" w14:textId="77777777" w:rsidR="005C670F" w:rsidRPr="00D02E5D" w:rsidRDefault="005C670F" w:rsidP="00D02E5D">
            <w:pPr>
              <w:pStyle w:val="Tabletext"/>
            </w:pPr>
          </w:p>
        </w:tc>
        <w:tc>
          <w:tcPr>
            <w:tcW w:w="584" w:type="pct"/>
            <w:gridSpan w:val="2"/>
          </w:tcPr>
          <w:p w14:paraId="2BA1DC35" w14:textId="77777777" w:rsidR="005C670F" w:rsidRPr="00D02E5D" w:rsidRDefault="005C670F" w:rsidP="00D02E5D">
            <w:pPr>
              <w:pStyle w:val="Tabletext"/>
            </w:pPr>
          </w:p>
        </w:tc>
        <w:tc>
          <w:tcPr>
            <w:tcW w:w="900" w:type="pct"/>
            <w:gridSpan w:val="2"/>
          </w:tcPr>
          <w:p w14:paraId="7B899A9E" w14:textId="77777777" w:rsidR="005C670F" w:rsidRPr="00D02E5D" w:rsidRDefault="005C670F" w:rsidP="00D02E5D">
            <w:pPr>
              <w:pStyle w:val="Tabletext"/>
            </w:pPr>
            <w:r w:rsidRPr="00D02E5D">
              <w:t>47.01***</w:t>
            </w:r>
          </w:p>
        </w:tc>
        <w:tc>
          <w:tcPr>
            <w:tcW w:w="462" w:type="pct"/>
            <w:gridSpan w:val="4"/>
          </w:tcPr>
          <w:p w14:paraId="68FD9688" w14:textId="77777777" w:rsidR="005C670F" w:rsidRPr="00D02E5D" w:rsidRDefault="005C670F" w:rsidP="00D02E5D">
            <w:pPr>
              <w:pStyle w:val="Tabletext"/>
            </w:pPr>
            <w:r w:rsidRPr="00D02E5D">
              <w:t>5.18</w:t>
            </w:r>
          </w:p>
        </w:tc>
        <w:tc>
          <w:tcPr>
            <w:tcW w:w="699" w:type="pct"/>
            <w:gridSpan w:val="4"/>
          </w:tcPr>
          <w:p w14:paraId="6384D86A" w14:textId="77777777" w:rsidR="005C670F" w:rsidRPr="00D02E5D" w:rsidRDefault="005C670F" w:rsidP="00D02E5D">
            <w:pPr>
              <w:pStyle w:val="Tabletext"/>
            </w:pPr>
          </w:p>
        </w:tc>
        <w:tc>
          <w:tcPr>
            <w:tcW w:w="459" w:type="pct"/>
            <w:gridSpan w:val="5"/>
          </w:tcPr>
          <w:p w14:paraId="7A6F41C1" w14:textId="77777777" w:rsidR="005C670F" w:rsidRPr="00D02E5D" w:rsidRDefault="005C670F" w:rsidP="00D02E5D">
            <w:pPr>
              <w:pStyle w:val="Tabletext"/>
            </w:pPr>
          </w:p>
        </w:tc>
      </w:tr>
      <w:tr w:rsidR="008C3D53" w:rsidRPr="00D02E5D" w14:paraId="654E0EF9" w14:textId="77777777" w:rsidTr="00D02E5D">
        <w:trPr>
          <w:trHeight w:val="300"/>
        </w:trPr>
        <w:tc>
          <w:tcPr>
            <w:tcW w:w="1173" w:type="pct"/>
            <w:noWrap/>
          </w:tcPr>
          <w:p w14:paraId="776D6641" w14:textId="77777777" w:rsidR="005C670F" w:rsidRPr="00F1360A" w:rsidRDefault="005C670F" w:rsidP="00285C39">
            <w:pPr>
              <w:pStyle w:val="Tabletext"/>
              <w:rPr>
                <w:color w:val="000000"/>
                <w:lang w:eastAsia="en-AU"/>
              </w:rPr>
            </w:pPr>
            <w:r w:rsidRPr="00F1360A">
              <w:rPr>
                <w:color w:val="000000"/>
                <w:lang w:eastAsia="en-AU"/>
              </w:rPr>
              <w:t>Quartile 4</w:t>
            </w:r>
          </w:p>
        </w:tc>
        <w:tc>
          <w:tcPr>
            <w:tcW w:w="353" w:type="pct"/>
            <w:noWrap/>
            <w:hideMark/>
          </w:tcPr>
          <w:p w14:paraId="3AF8BD81" w14:textId="77777777" w:rsidR="005C670F" w:rsidRPr="00D02E5D" w:rsidRDefault="005C670F" w:rsidP="00D02E5D">
            <w:pPr>
              <w:pStyle w:val="Tabletext"/>
            </w:pPr>
          </w:p>
        </w:tc>
        <w:tc>
          <w:tcPr>
            <w:tcW w:w="370" w:type="pct"/>
            <w:noWrap/>
            <w:hideMark/>
          </w:tcPr>
          <w:p w14:paraId="738ADB4C" w14:textId="77777777" w:rsidR="005C670F" w:rsidRPr="00D02E5D" w:rsidRDefault="005C670F" w:rsidP="00D02E5D">
            <w:pPr>
              <w:pStyle w:val="Tabletext"/>
            </w:pPr>
          </w:p>
        </w:tc>
        <w:tc>
          <w:tcPr>
            <w:tcW w:w="584" w:type="pct"/>
            <w:gridSpan w:val="2"/>
          </w:tcPr>
          <w:p w14:paraId="310BDFDB" w14:textId="77777777" w:rsidR="005C670F" w:rsidRPr="00D02E5D" w:rsidRDefault="005C670F" w:rsidP="00D02E5D">
            <w:pPr>
              <w:pStyle w:val="Tabletext"/>
            </w:pPr>
          </w:p>
        </w:tc>
        <w:tc>
          <w:tcPr>
            <w:tcW w:w="900" w:type="pct"/>
            <w:gridSpan w:val="2"/>
          </w:tcPr>
          <w:p w14:paraId="2F97A81B" w14:textId="77777777" w:rsidR="005C670F" w:rsidRPr="00D02E5D" w:rsidRDefault="005C670F" w:rsidP="00D02E5D">
            <w:pPr>
              <w:pStyle w:val="Tabletext"/>
            </w:pPr>
            <w:r w:rsidRPr="00D02E5D">
              <w:t>81.56***</w:t>
            </w:r>
          </w:p>
        </w:tc>
        <w:tc>
          <w:tcPr>
            <w:tcW w:w="462" w:type="pct"/>
            <w:gridSpan w:val="4"/>
          </w:tcPr>
          <w:p w14:paraId="6818DB96" w14:textId="77777777" w:rsidR="005C670F" w:rsidRPr="00D02E5D" w:rsidRDefault="005C670F" w:rsidP="00D02E5D">
            <w:pPr>
              <w:pStyle w:val="Tabletext"/>
            </w:pPr>
            <w:r w:rsidRPr="00D02E5D">
              <w:t>7.15</w:t>
            </w:r>
          </w:p>
        </w:tc>
        <w:tc>
          <w:tcPr>
            <w:tcW w:w="699" w:type="pct"/>
            <w:gridSpan w:val="4"/>
          </w:tcPr>
          <w:p w14:paraId="1CAD0A26" w14:textId="77777777" w:rsidR="005C670F" w:rsidRPr="00D02E5D" w:rsidRDefault="005C670F" w:rsidP="00D02E5D">
            <w:pPr>
              <w:pStyle w:val="Tabletext"/>
            </w:pPr>
          </w:p>
        </w:tc>
        <w:tc>
          <w:tcPr>
            <w:tcW w:w="459" w:type="pct"/>
            <w:gridSpan w:val="5"/>
          </w:tcPr>
          <w:p w14:paraId="356B0290" w14:textId="77777777" w:rsidR="005C670F" w:rsidRPr="00D02E5D" w:rsidRDefault="005C670F" w:rsidP="00D02E5D">
            <w:pPr>
              <w:pStyle w:val="Tabletext"/>
            </w:pPr>
          </w:p>
        </w:tc>
      </w:tr>
      <w:tr w:rsidR="008C3D53" w:rsidRPr="00D02E5D" w14:paraId="7DA75801" w14:textId="77777777" w:rsidTr="00D02E5D">
        <w:trPr>
          <w:trHeight w:val="300"/>
        </w:trPr>
        <w:tc>
          <w:tcPr>
            <w:tcW w:w="1173" w:type="pct"/>
            <w:noWrap/>
          </w:tcPr>
          <w:p w14:paraId="7EA15D4A" w14:textId="77777777" w:rsidR="005C670F" w:rsidRPr="00F1360A" w:rsidRDefault="005C670F" w:rsidP="00F1360A">
            <w:pPr>
              <w:pStyle w:val="Tabletext"/>
              <w:rPr>
                <w:b/>
                <w:color w:val="000000"/>
                <w:lang w:eastAsia="en-AU"/>
              </w:rPr>
            </w:pPr>
            <w:r w:rsidRPr="00F1360A">
              <w:rPr>
                <w:b/>
                <w:color w:val="000000"/>
                <w:lang w:eastAsia="en-AU"/>
              </w:rPr>
              <w:t>Family*school SES</w:t>
            </w:r>
          </w:p>
        </w:tc>
        <w:tc>
          <w:tcPr>
            <w:tcW w:w="353" w:type="pct"/>
            <w:noWrap/>
          </w:tcPr>
          <w:p w14:paraId="0F84E33C" w14:textId="77777777" w:rsidR="005C670F" w:rsidRPr="00D02E5D" w:rsidRDefault="005C670F" w:rsidP="00D02E5D">
            <w:pPr>
              <w:pStyle w:val="Tabletext"/>
            </w:pPr>
          </w:p>
        </w:tc>
        <w:tc>
          <w:tcPr>
            <w:tcW w:w="370" w:type="pct"/>
            <w:noWrap/>
          </w:tcPr>
          <w:p w14:paraId="780E384E" w14:textId="77777777" w:rsidR="005C670F" w:rsidRPr="00D02E5D" w:rsidRDefault="005C670F" w:rsidP="00D02E5D">
            <w:pPr>
              <w:pStyle w:val="Tabletext"/>
            </w:pPr>
          </w:p>
        </w:tc>
        <w:tc>
          <w:tcPr>
            <w:tcW w:w="584" w:type="pct"/>
            <w:gridSpan w:val="2"/>
          </w:tcPr>
          <w:p w14:paraId="5492FB6D" w14:textId="77777777" w:rsidR="005C670F" w:rsidRPr="00D02E5D" w:rsidRDefault="005C670F" w:rsidP="00D02E5D">
            <w:pPr>
              <w:pStyle w:val="Tabletext"/>
            </w:pPr>
          </w:p>
        </w:tc>
        <w:tc>
          <w:tcPr>
            <w:tcW w:w="900" w:type="pct"/>
            <w:gridSpan w:val="2"/>
          </w:tcPr>
          <w:p w14:paraId="25C45E70" w14:textId="77777777" w:rsidR="005C670F" w:rsidRPr="00D02E5D" w:rsidRDefault="005C670F" w:rsidP="00D02E5D">
            <w:pPr>
              <w:pStyle w:val="Tabletext"/>
            </w:pPr>
          </w:p>
        </w:tc>
        <w:tc>
          <w:tcPr>
            <w:tcW w:w="462" w:type="pct"/>
            <w:gridSpan w:val="4"/>
          </w:tcPr>
          <w:p w14:paraId="7967C05B" w14:textId="77777777" w:rsidR="005C670F" w:rsidRPr="00D02E5D" w:rsidRDefault="005C670F" w:rsidP="00D02E5D">
            <w:pPr>
              <w:pStyle w:val="Tabletext"/>
            </w:pPr>
          </w:p>
        </w:tc>
        <w:tc>
          <w:tcPr>
            <w:tcW w:w="699" w:type="pct"/>
            <w:gridSpan w:val="4"/>
          </w:tcPr>
          <w:p w14:paraId="1C4B62D0" w14:textId="77777777" w:rsidR="005C670F" w:rsidRPr="00D02E5D" w:rsidRDefault="005C670F" w:rsidP="00D02E5D">
            <w:pPr>
              <w:pStyle w:val="Tabletext"/>
            </w:pPr>
          </w:p>
        </w:tc>
        <w:tc>
          <w:tcPr>
            <w:tcW w:w="459" w:type="pct"/>
            <w:gridSpan w:val="5"/>
          </w:tcPr>
          <w:p w14:paraId="131A93DE" w14:textId="77777777" w:rsidR="005C670F" w:rsidRPr="00D02E5D" w:rsidRDefault="005C670F" w:rsidP="00D02E5D">
            <w:pPr>
              <w:pStyle w:val="Tabletext"/>
            </w:pPr>
          </w:p>
        </w:tc>
      </w:tr>
      <w:tr w:rsidR="008C3D53" w:rsidRPr="00D02E5D" w14:paraId="74319322" w14:textId="77777777" w:rsidTr="00D02E5D">
        <w:trPr>
          <w:trHeight w:val="300"/>
        </w:trPr>
        <w:tc>
          <w:tcPr>
            <w:tcW w:w="1173" w:type="pct"/>
            <w:noWrap/>
          </w:tcPr>
          <w:p w14:paraId="17E80C96" w14:textId="77777777" w:rsidR="005C670F" w:rsidRPr="00D678D3" w:rsidRDefault="005C670F" w:rsidP="00D678D3">
            <w:pPr>
              <w:pStyle w:val="Tabletext"/>
              <w:rPr>
                <w:color w:val="000000"/>
                <w:lang w:eastAsia="en-AU"/>
              </w:rPr>
            </w:pPr>
            <w:r w:rsidRPr="00D678D3">
              <w:rPr>
                <w:color w:val="000000"/>
                <w:lang w:eastAsia="en-AU"/>
              </w:rPr>
              <w:t>Q1student*Q1school (ref.)</w:t>
            </w:r>
          </w:p>
        </w:tc>
        <w:tc>
          <w:tcPr>
            <w:tcW w:w="353" w:type="pct"/>
            <w:noWrap/>
          </w:tcPr>
          <w:p w14:paraId="3C379176" w14:textId="77777777" w:rsidR="005C670F" w:rsidRPr="00D02E5D" w:rsidRDefault="005C670F" w:rsidP="00D02E5D">
            <w:pPr>
              <w:pStyle w:val="Tabletext"/>
            </w:pPr>
          </w:p>
        </w:tc>
        <w:tc>
          <w:tcPr>
            <w:tcW w:w="370" w:type="pct"/>
            <w:noWrap/>
          </w:tcPr>
          <w:p w14:paraId="3AD433D5" w14:textId="77777777" w:rsidR="005C670F" w:rsidRPr="00D02E5D" w:rsidRDefault="005C670F" w:rsidP="00D02E5D">
            <w:pPr>
              <w:pStyle w:val="Tabletext"/>
            </w:pPr>
          </w:p>
        </w:tc>
        <w:tc>
          <w:tcPr>
            <w:tcW w:w="584" w:type="pct"/>
            <w:gridSpan w:val="2"/>
          </w:tcPr>
          <w:p w14:paraId="79D555A8" w14:textId="77777777" w:rsidR="005C670F" w:rsidRPr="00D02E5D" w:rsidRDefault="005C670F" w:rsidP="00D02E5D">
            <w:pPr>
              <w:pStyle w:val="Tabletext"/>
            </w:pPr>
          </w:p>
        </w:tc>
        <w:tc>
          <w:tcPr>
            <w:tcW w:w="900" w:type="pct"/>
            <w:gridSpan w:val="2"/>
          </w:tcPr>
          <w:p w14:paraId="084401B9" w14:textId="77777777" w:rsidR="005C670F" w:rsidRPr="00D02E5D" w:rsidRDefault="005C670F" w:rsidP="00D02E5D">
            <w:pPr>
              <w:pStyle w:val="Tabletext"/>
            </w:pPr>
          </w:p>
        </w:tc>
        <w:tc>
          <w:tcPr>
            <w:tcW w:w="462" w:type="pct"/>
            <w:gridSpan w:val="4"/>
          </w:tcPr>
          <w:p w14:paraId="3402DB11" w14:textId="77777777" w:rsidR="005C670F" w:rsidRPr="00D02E5D" w:rsidRDefault="005C670F" w:rsidP="00D02E5D">
            <w:pPr>
              <w:pStyle w:val="Tabletext"/>
            </w:pPr>
          </w:p>
        </w:tc>
        <w:tc>
          <w:tcPr>
            <w:tcW w:w="699" w:type="pct"/>
            <w:gridSpan w:val="4"/>
          </w:tcPr>
          <w:p w14:paraId="6C9AF23D" w14:textId="77777777" w:rsidR="005C670F" w:rsidRPr="00D02E5D" w:rsidRDefault="005C670F" w:rsidP="00D02E5D">
            <w:pPr>
              <w:pStyle w:val="Tabletext"/>
            </w:pPr>
          </w:p>
        </w:tc>
        <w:tc>
          <w:tcPr>
            <w:tcW w:w="459" w:type="pct"/>
            <w:gridSpan w:val="5"/>
          </w:tcPr>
          <w:p w14:paraId="0F4C10EA" w14:textId="77777777" w:rsidR="005C670F" w:rsidRPr="00D02E5D" w:rsidRDefault="005C670F" w:rsidP="00D02E5D">
            <w:pPr>
              <w:pStyle w:val="Tabletext"/>
            </w:pPr>
          </w:p>
        </w:tc>
      </w:tr>
      <w:tr w:rsidR="008C3D53" w:rsidRPr="00D02E5D" w14:paraId="2F5D14AB" w14:textId="77777777" w:rsidTr="00D02E5D">
        <w:trPr>
          <w:trHeight w:val="300"/>
        </w:trPr>
        <w:tc>
          <w:tcPr>
            <w:tcW w:w="1173" w:type="pct"/>
            <w:noWrap/>
          </w:tcPr>
          <w:p w14:paraId="2CE66D0C" w14:textId="77777777" w:rsidR="005C670F" w:rsidRPr="00D678D3" w:rsidRDefault="005C670F" w:rsidP="00D678D3">
            <w:pPr>
              <w:pStyle w:val="Tabletext"/>
              <w:rPr>
                <w:color w:val="000000"/>
                <w:lang w:eastAsia="en-AU"/>
              </w:rPr>
            </w:pPr>
            <w:r w:rsidRPr="00D678D3">
              <w:rPr>
                <w:color w:val="000000"/>
                <w:lang w:eastAsia="en-AU"/>
              </w:rPr>
              <w:t>Q1student *Q2school</w:t>
            </w:r>
          </w:p>
        </w:tc>
        <w:tc>
          <w:tcPr>
            <w:tcW w:w="353" w:type="pct"/>
            <w:noWrap/>
            <w:hideMark/>
          </w:tcPr>
          <w:p w14:paraId="1EF23C34" w14:textId="77777777" w:rsidR="005C670F" w:rsidRPr="00D02E5D" w:rsidRDefault="005C670F" w:rsidP="00D02E5D">
            <w:pPr>
              <w:pStyle w:val="Tabletext"/>
            </w:pPr>
          </w:p>
        </w:tc>
        <w:tc>
          <w:tcPr>
            <w:tcW w:w="370" w:type="pct"/>
            <w:noWrap/>
            <w:hideMark/>
          </w:tcPr>
          <w:p w14:paraId="4DFC5E5F" w14:textId="77777777" w:rsidR="005C670F" w:rsidRPr="00D02E5D" w:rsidRDefault="005C670F" w:rsidP="00D02E5D">
            <w:pPr>
              <w:pStyle w:val="Tabletext"/>
            </w:pPr>
          </w:p>
        </w:tc>
        <w:tc>
          <w:tcPr>
            <w:tcW w:w="584" w:type="pct"/>
            <w:gridSpan w:val="2"/>
          </w:tcPr>
          <w:p w14:paraId="65BD474A" w14:textId="77777777" w:rsidR="005C670F" w:rsidRPr="00D02E5D" w:rsidRDefault="005C670F" w:rsidP="00D02E5D">
            <w:pPr>
              <w:pStyle w:val="Tabletext"/>
            </w:pPr>
          </w:p>
        </w:tc>
        <w:tc>
          <w:tcPr>
            <w:tcW w:w="900" w:type="pct"/>
            <w:gridSpan w:val="2"/>
          </w:tcPr>
          <w:p w14:paraId="2964C77D" w14:textId="77777777" w:rsidR="005C670F" w:rsidRPr="00D02E5D" w:rsidRDefault="005C670F" w:rsidP="00D02E5D">
            <w:pPr>
              <w:pStyle w:val="Tabletext"/>
            </w:pPr>
          </w:p>
        </w:tc>
        <w:tc>
          <w:tcPr>
            <w:tcW w:w="462" w:type="pct"/>
            <w:gridSpan w:val="4"/>
          </w:tcPr>
          <w:p w14:paraId="1A45C594" w14:textId="77777777" w:rsidR="005C670F" w:rsidRPr="00D02E5D" w:rsidRDefault="005C670F" w:rsidP="00D02E5D">
            <w:pPr>
              <w:pStyle w:val="Tabletext"/>
            </w:pPr>
          </w:p>
        </w:tc>
        <w:tc>
          <w:tcPr>
            <w:tcW w:w="699" w:type="pct"/>
            <w:gridSpan w:val="4"/>
          </w:tcPr>
          <w:p w14:paraId="01B976F7" w14:textId="77777777" w:rsidR="005C670F" w:rsidRPr="00D02E5D" w:rsidRDefault="005C670F" w:rsidP="00D02E5D">
            <w:pPr>
              <w:pStyle w:val="Tabletext"/>
            </w:pPr>
            <w:r w:rsidRPr="00D02E5D">
              <w:t>30.93***</w:t>
            </w:r>
          </w:p>
        </w:tc>
        <w:tc>
          <w:tcPr>
            <w:tcW w:w="459" w:type="pct"/>
            <w:gridSpan w:val="5"/>
          </w:tcPr>
          <w:p w14:paraId="43159E0C" w14:textId="77777777" w:rsidR="005C670F" w:rsidRPr="00D02E5D" w:rsidRDefault="005C670F" w:rsidP="00D02E5D">
            <w:pPr>
              <w:pStyle w:val="Tabletext"/>
            </w:pPr>
            <w:r w:rsidRPr="00D02E5D">
              <w:t>6.87</w:t>
            </w:r>
          </w:p>
        </w:tc>
      </w:tr>
      <w:tr w:rsidR="008C3D53" w:rsidRPr="00D02E5D" w14:paraId="1A1A8A60" w14:textId="77777777" w:rsidTr="00D02E5D">
        <w:trPr>
          <w:trHeight w:val="300"/>
        </w:trPr>
        <w:tc>
          <w:tcPr>
            <w:tcW w:w="1173" w:type="pct"/>
            <w:noWrap/>
          </w:tcPr>
          <w:p w14:paraId="20EEBA97" w14:textId="77777777" w:rsidR="005C670F" w:rsidRPr="00D678D3" w:rsidRDefault="005C670F" w:rsidP="00D678D3">
            <w:pPr>
              <w:pStyle w:val="Tabletext"/>
              <w:rPr>
                <w:color w:val="000000"/>
                <w:lang w:eastAsia="en-AU"/>
              </w:rPr>
            </w:pPr>
            <w:r w:rsidRPr="00D678D3">
              <w:rPr>
                <w:color w:val="000000"/>
                <w:lang w:eastAsia="en-AU"/>
              </w:rPr>
              <w:t>Q1student *Q3school</w:t>
            </w:r>
          </w:p>
        </w:tc>
        <w:tc>
          <w:tcPr>
            <w:tcW w:w="353" w:type="pct"/>
            <w:noWrap/>
            <w:hideMark/>
          </w:tcPr>
          <w:p w14:paraId="0178FDDD" w14:textId="77777777" w:rsidR="005C670F" w:rsidRPr="00D02E5D" w:rsidRDefault="005C670F" w:rsidP="00D02E5D">
            <w:pPr>
              <w:pStyle w:val="Tabletext"/>
            </w:pPr>
          </w:p>
        </w:tc>
        <w:tc>
          <w:tcPr>
            <w:tcW w:w="370" w:type="pct"/>
            <w:noWrap/>
            <w:hideMark/>
          </w:tcPr>
          <w:p w14:paraId="19AFB3F2" w14:textId="77777777" w:rsidR="005C670F" w:rsidRPr="00D02E5D" w:rsidRDefault="005C670F" w:rsidP="00D02E5D">
            <w:pPr>
              <w:pStyle w:val="Tabletext"/>
            </w:pPr>
          </w:p>
        </w:tc>
        <w:tc>
          <w:tcPr>
            <w:tcW w:w="584" w:type="pct"/>
            <w:gridSpan w:val="2"/>
          </w:tcPr>
          <w:p w14:paraId="04970849" w14:textId="77777777" w:rsidR="005C670F" w:rsidRPr="00D02E5D" w:rsidRDefault="005C670F" w:rsidP="00D02E5D">
            <w:pPr>
              <w:pStyle w:val="Tabletext"/>
            </w:pPr>
          </w:p>
        </w:tc>
        <w:tc>
          <w:tcPr>
            <w:tcW w:w="900" w:type="pct"/>
            <w:gridSpan w:val="2"/>
          </w:tcPr>
          <w:p w14:paraId="31258E6F" w14:textId="77777777" w:rsidR="005C670F" w:rsidRPr="00D02E5D" w:rsidRDefault="005C670F" w:rsidP="00D02E5D">
            <w:pPr>
              <w:pStyle w:val="Tabletext"/>
            </w:pPr>
          </w:p>
        </w:tc>
        <w:tc>
          <w:tcPr>
            <w:tcW w:w="462" w:type="pct"/>
            <w:gridSpan w:val="4"/>
          </w:tcPr>
          <w:p w14:paraId="08D5F31C" w14:textId="77777777" w:rsidR="005C670F" w:rsidRPr="00D02E5D" w:rsidRDefault="005C670F" w:rsidP="00D02E5D">
            <w:pPr>
              <w:pStyle w:val="Tabletext"/>
            </w:pPr>
          </w:p>
        </w:tc>
        <w:tc>
          <w:tcPr>
            <w:tcW w:w="699" w:type="pct"/>
            <w:gridSpan w:val="4"/>
          </w:tcPr>
          <w:p w14:paraId="12DC2C8A" w14:textId="77777777" w:rsidR="005C670F" w:rsidRPr="00D02E5D" w:rsidRDefault="005C670F" w:rsidP="00D02E5D">
            <w:pPr>
              <w:pStyle w:val="Tabletext"/>
            </w:pPr>
            <w:r w:rsidRPr="00D02E5D">
              <w:t>39.14***</w:t>
            </w:r>
          </w:p>
        </w:tc>
        <w:tc>
          <w:tcPr>
            <w:tcW w:w="459" w:type="pct"/>
            <w:gridSpan w:val="5"/>
          </w:tcPr>
          <w:p w14:paraId="23A55E2C" w14:textId="77777777" w:rsidR="005C670F" w:rsidRPr="00D02E5D" w:rsidRDefault="005C670F" w:rsidP="00D02E5D">
            <w:pPr>
              <w:pStyle w:val="Tabletext"/>
            </w:pPr>
            <w:r w:rsidRPr="00D02E5D">
              <w:t>6.96</w:t>
            </w:r>
          </w:p>
        </w:tc>
      </w:tr>
      <w:tr w:rsidR="008C3D53" w:rsidRPr="00D02E5D" w14:paraId="31F2DF5E" w14:textId="77777777" w:rsidTr="00D02E5D">
        <w:trPr>
          <w:trHeight w:val="300"/>
        </w:trPr>
        <w:tc>
          <w:tcPr>
            <w:tcW w:w="1173" w:type="pct"/>
            <w:noWrap/>
          </w:tcPr>
          <w:p w14:paraId="073B528B" w14:textId="77777777" w:rsidR="005C670F" w:rsidRPr="00D678D3" w:rsidRDefault="005C670F" w:rsidP="00D678D3">
            <w:pPr>
              <w:pStyle w:val="Tabletext"/>
              <w:rPr>
                <w:color w:val="000000"/>
                <w:lang w:eastAsia="en-AU"/>
              </w:rPr>
            </w:pPr>
            <w:r w:rsidRPr="00D678D3">
              <w:rPr>
                <w:color w:val="000000"/>
                <w:lang w:eastAsia="en-AU"/>
              </w:rPr>
              <w:t>Q1student *Q4school</w:t>
            </w:r>
          </w:p>
        </w:tc>
        <w:tc>
          <w:tcPr>
            <w:tcW w:w="353" w:type="pct"/>
            <w:noWrap/>
            <w:hideMark/>
          </w:tcPr>
          <w:p w14:paraId="09DA492C" w14:textId="77777777" w:rsidR="005C670F" w:rsidRPr="00D02E5D" w:rsidRDefault="005C670F" w:rsidP="00D02E5D">
            <w:pPr>
              <w:pStyle w:val="Tabletext"/>
            </w:pPr>
          </w:p>
        </w:tc>
        <w:tc>
          <w:tcPr>
            <w:tcW w:w="370" w:type="pct"/>
            <w:noWrap/>
            <w:hideMark/>
          </w:tcPr>
          <w:p w14:paraId="1635CE54" w14:textId="77777777" w:rsidR="005C670F" w:rsidRPr="00D02E5D" w:rsidRDefault="005C670F" w:rsidP="00D02E5D">
            <w:pPr>
              <w:pStyle w:val="Tabletext"/>
            </w:pPr>
          </w:p>
        </w:tc>
        <w:tc>
          <w:tcPr>
            <w:tcW w:w="584" w:type="pct"/>
            <w:gridSpan w:val="2"/>
          </w:tcPr>
          <w:p w14:paraId="2939243A" w14:textId="77777777" w:rsidR="005C670F" w:rsidRPr="00D02E5D" w:rsidRDefault="005C670F" w:rsidP="00D02E5D">
            <w:pPr>
              <w:pStyle w:val="Tabletext"/>
            </w:pPr>
          </w:p>
        </w:tc>
        <w:tc>
          <w:tcPr>
            <w:tcW w:w="900" w:type="pct"/>
            <w:gridSpan w:val="2"/>
          </w:tcPr>
          <w:p w14:paraId="102F8DA4" w14:textId="77777777" w:rsidR="005C670F" w:rsidRPr="00D02E5D" w:rsidRDefault="005C670F" w:rsidP="00D02E5D">
            <w:pPr>
              <w:pStyle w:val="Tabletext"/>
            </w:pPr>
          </w:p>
        </w:tc>
        <w:tc>
          <w:tcPr>
            <w:tcW w:w="462" w:type="pct"/>
            <w:gridSpan w:val="4"/>
          </w:tcPr>
          <w:p w14:paraId="0B599021" w14:textId="77777777" w:rsidR="005C670F" w:rsidRPr="00D02E5D" w:rsidRDefault="005C670F" w:rsidP="00D02E5D">
            <w:pPr>
              <w:pStyle w:val="Tabletext"/>
            </w:pPr>
          </w:p>
        </w:tc>
        <w:tc>
          <w:tcPr>
            <w:tcW w:w="699" w:type="pct"/>
            <w:gridSpan w:val="4"/>
          </w:tcPr>
          <w:p w14:paraId="05FAFF05" w14:textId="77777777" w:rsidR="005C670F" w:rsidRPr="00D02E5D" w:rsidRDefault="005C670F" w:rsidP="00D02E5D">
            <w:pPr>
              <w:pStyle w:val="Tabletext"/>
            </w:pPr>
            <w:r w:rsidRPr="00D02E5D">
              <w:t>74.76***</w:t>
            </w:r>
          </w:p>
        </w:tc>
        <w:tc>
          <w:tcPr>
            <w:tcW w:w="459" w:type="pct"/>
            <w:gridSpan w:val="5"/>
          </w:tcPr>
          <w:p w14:paraId="0916276B" w14:textId="77777777" w:rsidR="005C670F" w:rsidRPr="00D02E5D" w:rsidRDefault="005C670F" w:rsidP="00D02E5D">
            <w:pPr>
              <w:pStyle w:val="Tabletext"/>
            </w:pPr>
            <w:r w:rsidRPr="00D02E5D">
              <w:t>13.06</w:t>
            </w:r>
          </w:p>
        </w:tc>
      </w:tr>
      <w:tr w:rsidR="008C3D53" w:rsidRPr="00D02E5D" w14:paraId="10895C79" w14:textId="77777777" w:rsidTr="00D02E5D">
        <w:trPr>
          <w:trHeight w:val="300"/>
        </w:trPr>
        <w:tc>
          <w:tcPr>
            <w:tcW w:w="1173" w:type="pct"/>
            <w:noWrap/>
          </w:tcPr>
          <w:p w14:paraId="4D6FF0C7" w14:textId="77777777" w:rsidR="005C670F" w:rsidRPr="00D678D3" w:rsidRDefault="005C670F" w:rsidP="00D678D3">
            <w:pPr>
              <w:pStyle w:val="Tabletext"/>
              <w:rPr>
                <w:color w:val="000000"/>
                <w:lang w:eastAsia="en-AU"/>
              </w:rPr>
            </w:pPr>
            <w:r w:rsidRPr="00D678D3">
              <w:rPr>
                <w:color w:val="000000"/>
                <w:lang w:eastAsia="en-AU"/>
              </w:rPr>
              <w:t xml:space="preserve">Q2student *Q1school </w:t>
            </w:r>
          </w:p>
        </w:tc>
        <w:tc>
          <w:tcPr>
            <w:tcW w:w="353" w:type="pct"/>
            <w:noWrap/>
          </w:tcPr>
          <w:p w14:paraId="5A74D965" w14:textId="77777777" w:rsidR="005C670F" w:rsidRPr="00D02E5D" w:rsidRDefault="005C670F" w:rsidP="00D02E5D">
            <w:pPr>
              <w:pStyle w:val="Tabletext"/>
            </w:pPr>
          </w:p>
        </w:tc>
        <w:tc>
          <w:tcPr>
            <w:tcW w:w="370" w:type="pct"/>
            <w:noWrap/>
          </w:tcPr>
          <w:p w14:paraId="4FC4EAC8" w14:textId="77777777" w:rsidR="005C670F" w:rsidRPr="00D02E5D" w:rsidRDefault="005C670F" w:rsidP="00D02E5D">
            <w:pPr>
              <w:pStyle w:val="Tabletext"/>
            </w:pPr>
          </w:p>
        </w:tc>
        <w:tc>
          <w:tcPr>
            <w:tcW w:w="584" w:type="pct"/>
            <w:gridSpan w:val="2"/>
          </w:tcPr>
          <w:p w14:paraId="506FD47F" w14:textId="77777777" w:rsidR="005C670F" w:rsidRPr="00D02E5D" w:rsidRDefault="005C670F" w:rsidP="00D02E5D">
            <w:pPr>
              <w:pStyle w:val="Tabletext"/>
            </w:pPr>
          </w:p>
        </w:tc>
        <w:tc>
          <w:tcPr>
            <w:tcW w:w="900" w:type="pct"/>
            <w:gridSpan w:val="2"/>
          </w:tcPr>
          <w:p w14:paraId="6D37DDCE" w14:textId="77777777" w:rsidR="005C670F" w:rsidRPr="00D02E5D" w:rsidRDefault="005C670F" w:rsidP="00D02E5D">
            <w:pPr>
              <w:pStyle w:val="Tabletext"/>
            </w:pPr>
          </w:p>
        </w:tc>
        <w:tc>
          <w:tcPr>
            <w:tcW w:w="462" w:type="pct"/>
            <w:gridSpan w:val="4"/>
          </w:tcPr>
          <w:p w14:paraId="13452797" w14:textId="77777777" w:rsidR="005C670F" w:rsidRPr="00D02E5D" w:rsidRDefault="005C670F" w:rsidP="00D02E5D">
            <w:pPr>
              <w:pStyle w:val="Tabletext"/>
            </w:pPr>
          </w:p>
        </w:tc>
        <w:tc>
          <w:tcPr>
            <w:tcW w:w="699" w:type="pct"/>
            <w:gridSpan w:val="4"/>
          </w:tcPr>
          <w:p w14:paraId="5F0C9A27" w14:textId="77777777" w:rsidR="005C670F" w:rsidRPr="00D02E5D" w:rsidRDefault="005C670F" w:rsidP="00D02E5D">
            <w:pPr>
              <w:pStyle w:val="Tabletext"/>
            </w:pPr>
            <w:r w:rsidRPr="00D02E5D">
              <w:t>31.76***</w:t>
            </w:r>
          </w:p>
        </w:tc>
        <w:tc>
          <w:tcPr>
            <w:tcW w:w="459" w:type="pct"/>
            <w:gridSpan w:val="5"/>
          </w:tcPr>
          <w:p w14:paraId="0182C342" w14:textId="77777777" w:rsidR="005C670F" w:rsidRPr="00D02E5D" w:rsidRDefault="005C670F" w:rsidP="00D02E5D">
            <w:pPr>
              <w:pStyle w:val="Tabletext"/>
            </w:pPr>
            <w:r w:rsidRPr="00D02E5D">
              <w:t>5.63</w:t>
            </w:r>
          </w:p>
        </w:tc>
      </w:tr>
      <w:tr w:rsidR="008C3D53" w:rsidRPr="00D02E5D" w14:paraId="3BC32172" w14:textId="77777777" w:rsidTr="00D02E5D">
        <w:trPr>
          <w:trHeight w:val="300"/>
        </w:trPr>
        <w:tc>
          <w:tcPr>
            <w:tcW w:w="1173" w:type="pct"/>
            <w:noWrap/>
          </w:tcPr>
          <w:p w14:paraId="00AD48DB" w14:textId="77777777" w:rsidR="005C670F" w:rsidRPr="00D678D3" w:rsidRDefault="005C670F" w:rsidP="00D678D3">
            <w:pPr>
              <w:pStyle w:val="Tabletext"/>
              <w:rPr>
                <w:color w:val="000000"/>
                <w:lang w:eastAsia="en-AU"/>
              </w:rPr>
            </w:pPr>
            <w:r w:rsidRPr="00D678D3">
              <w:rPr>
                <w:color w:val="000000"/>
                <w:lang w:eastAsia="en-AU"/>
              </w:rPr>
              <w:t>Q2student *Q2school</w:t>
            </w:r>
          </w:p>
        </w:tc>
        <w:tc>
          <w:tcPr>
            <w:tcW w:w="353" w:type="pct"/>
            <w:noWrap/>
          </w:tcPr>
          <w:p w14:paraId="12D0AFB3" w14:textId="77777777" w:rsidR="005C670F" w:rsidRPr="00D02E5D" w:rsidRDefault="005C670F" w:rsidP="00D02E5D">
            <w:pPr>
              <w:pStyle w:val="Tabletext"/>
            </w:pPr>
          </w:p>
        </w:tc>
        <w:tc>
          <w:tcPr>
            <w:tcW w:w="370" w:type="pct"/>
            <w:noWrap/>
          </w:tcPr>
          <w:p w14:paraId="6AF10F59" w14:textId="77777777" w:rsidR="005C670F" w:rsidRPr="00D02E5D" w:rsidRDefault="005C670F" w:rsidP="00D02E5D">
            <w:pPr>
              <w:pStyle w:val="Tabletext"/>
            </w:pPr>
          </w:p>
        </w:tc>
        <w:tc>
          <w:tcPr>
            <w:tcW w:w="584" w:type="pct"/>
            <w:gridSpan w:val="2"/>
          </w:tcPr>
          <w:p w14:paraId="3CE6C890" w14:textId="77777777" w:rsidR="005C670F" w:rsidRPr="00D02E5D" w:rsidRDefault="005C670F" w:rsidP="00D02E5D">
            <w:pPr>
              <w:pStyle w:val="Tabletext"/>
            </w:pPr>
          </w:p>
        </w:tc>
        <w:tc>
          <w:tcPr>
            <w:tcW w:w="900" w:type="pct"/>
            <w:gridSpan w:val="2"/>
          </w:tcPr>
          <w:p w14:paraId="7CA90045" w14:textId="77777777" w:rsidR="005C670F" w:rsidRPr="00D02E5D" w:rsidRDefault="005C670F" w:rsidP="00D02E5D">
            <w:pPr>
              <w:pStyle w:val="Tabletext"/>
            </w:pPr>
          </w:p>
        </w:tc>
        <w:tc>
          <w:tcPr>
            <w:tcW w:w="462" w:type="pct"/>
            <w:gridSpan w:val="4"/>
          </w:tcPr>
          <w:p w14:paraId="7A7C4D9A" w14:textId="77777777" w:rsidR="005C670F" w:rsidRPr="00D02E5D" w:rsidRDefault="005C670F" w:rsidP="00D02E5D">
            <w:pPr>
              <w:pStyle w:val="Tabletext"/>
            </w:pPr>
          </w:p>
        </w:tc>
        <w:tc>
          <w:tcPr>
            <w:tcW w:w="699" w:type="pct"/>
            <w:gridSpan w:val="4"/>
          </w:tcPr>
          <w:p w14:paraId="0DB9F493" w14:textId="77777777" w:rsidR="005C670F" w:rsidRPr="00D02E5D" w:rsidRDefault="005C670F" w:rsidP="00D02E5D">
            <w:pPr>
              <w:pStyle w:val="Tabletext"/>
            </w:pPr>
            <w:r w:rsidRPr="00D02E5D">
              <w:t>47.17***</w:t>
            </w:r>
          </w:p>
        </w:tc>
        <w:tc>
          <w:tcPr>
            <w:tcW w:w="459" w:type="pct"/>
            <w:gridSpan w:val="5"/>
          </w:tcPr>
          <w:p w14:paraId="31E866F9" w14:textId="77777777" w:rsidR="005C670F" w:rsidRPr="00D02E5D" w:rsidRDefault="005C670F" w:rsidP="00D02E5D">
            <w:pPr>
              <w:pStyle w:val="Tabletext"/>
            </w:pPr>
            <w:r w:rsidRPr="00D02E5D">
              <w:t>6.41</w:t>
            </w:r>
          </w:p>
        </w:tc>
      </w:tr>
      <w:tr w:rsidR="008C3D53" w:rsidRPr="00D02E5D" w14:paraId="65A997B1" w14:textId="77777777" w:rsidTr="00D02E5D">
        <w:trPr>
          <w:trHeight w:val="300"/>
        </w:trPr>
        <w:tc>
          <w:tcPr>
            <w:tcW w:w="1173" w:type="pct"/>
            <w:noWrap/>
          </w:tcPr>
          <w:p w14:paraId="47E6D4BA" w14:textId="77777777" w:rsidR="005C670F" w:rsidRPr="00D678D3" w:rsidRDefault="005C670F" w:rsidP="00144E76">
            <w:pPr>
              <w:pStyle w:val="Tabletext"/>
              <w:rPr>
                <w:color w:val="000000"/>
                <w:lang w:eastAsia="en-AU"/>
              </w:rPr>
            </w:pPr>
            <w:r w:rsidRPr="00D678D3">
              <w:rPr>
                <w:color w:val="000000"/>
                <w:lang w:eastAsia="en-AU"/>
              </w:rPr>
              <w:t>Q2student *Q3school</w:t>
            </w:r>
          </w:p>
        </w:tc>
        <w:tc>
          <w:tcPr>
            <w:tcW w:w="353" w:type="pct"/>
            <w:noWrap/>
            <w:hideMark/>
          </w:tcPr>
          <w:p w14:paraId="7D7BB3E4" w14:textId="77777777" w:rsidR="005C670F" w:rsidRPr="00D02E5D" w:rsidRDefault="005C670F" w:rsidP="00D02E5D">
            <w:pPr>
              <w:pStyle w:val="Tabletext"/>
            </w:pPr>
          </w:p>
        </w:tc>
        <w:tc>
          <w:tcPr>
            <w:tcW w:w="370" w:type="pct"/>
            <w:noWrap/>
            <w:hideMark/>
          </w:tcPr>
          <w:p w14:paraId="0DB1273F" w14:textId="77777777" w:rsidR="005C670F" w:rsidRPr="00D02E5D" w:rsidRDefault="005C670F" w:rsidP="00D02E5D">
            <w:pPr>
              <w:pStyle w:val="Tabletext"/>
            </w:pPr>
          </w:p>
        </w:tc>
        <w:tc>
          <w:tcPr>
            <w:tcW w:w="584" w:type="pct"/>
            <w:gridSpan w:val="2"/>
          </w:tcPr>
          <w:p w14:paraId="603B4146" w14:textId="77777777" w:rsidR="005C670F" w:rsidRPr="00D02E5D" w:rsidRDefault="005C670F" w:rsidP="00D02E5D">
            <w:pPr>
              <w:pStyle w:val="Tabletext"/>
            </w:pPr>
          </w:p>
        </w:tc>
        <w:tc>
          <w:tcPr>
            <w:tcW w:w="900" w:type="pct"/>
            <w:gridSpan w:val="2"/>
          </w:tcPr>
          <w:p w14:paraId="5C440CC5" w14:textId="77777777" w:rsidR="005C670F" w:rsidRPr="00D02E5D" w:rsidRDefault="005C670F" w:rsidP="00D02E5D">
            <w:pPr>
              <w:pStyle w:val="Tabletext"/>
            </w:pPr>
          </w:p>
        </w:tc>
        <w:tc>
          <w:tcPr>
            <w:tcW w:w="462" w:type="pct"/>
            <w:gridSpan w:val="4"/>
          </w:tcPr>
          <w:p w14:paraId="39AAC273" w14:textId="77777777" w:rsidR="005C670F" w:rsidRPr="00D02E5D" w:rsidRDefault="005C670F" w:rsidP="00D02E5D">
            <w:pPr>
              <w:pStyle w:val="Tabletext"/>
            </w:pPr>
          </w:p>
        </w:tc>
        <w:tc>
          <w:tcPr>
            <w:tcW w:w="699" w:type="pct"/>
            <w:gridSpan w:val="4"/>
          </w:tcPr>
          <w:p w14:paraId="66F28A4B" w14:textId="77777777" w:rsidR="005C670F" w:rsidRPr="00D02E5D" w:rsidRDefault="005C670F" w:rsidP="00D02E5D">
            <w:pPr>
              <w:pStyle w:val="Tabletext"/>
            </w:pPr>
            <w:r w:rsidRPr="00D02E5D">
              <w:t>61.17***</w:t>
            </w:r>
          </w:p>
        </w:tc>
        <w:tc>
          <w:tcPr>
            <w:tcW w:w="459" w:type="pct"/>
            <w:gridSpan w:val="5"/>
          </w:tcPr>
          <w:p w14:paraId="01B05B42" w14:textId="77777777" w:rsidR="005C670F" w:rsidRPr="00D02E5D" w:rsidRDefault="005C670F" w:rsidP="00D02E5D">
            <w:pPr>
              <w:pStyle w:val="Tabletext"/>
            </w:pPr>
            <w:r w:rsidRPr="00D02E5D">
              <w:t>6.62</w:t>
            </w:r>
          </w:p>
        </w:tc>
      </w:tr>
      <w:tr w:rsidR="008C3D53" w:rsidRPr="00D02E5D" w14:paraId="4CFC2F79" w14:textId="77777777" w:rsidTr="00D02E5D">
        <w:trPr>
          <w:trHeight w:val="300"/>
        </w:trPr>
        <w:tc>
          <w:tcPr>
            <w:tcW w:w="1173" w:type="pct"/>
            <w:noWrap/>
          </w:tcPr>
          <w:p w14:paraId="362D3B4B" w14:textId="77777777" w:rsidR="005C670F" w:rsidRPr="00144E76" w:rsidRDefault="005C670F" w:rsidP="00F1360A">
            <w:pPr>
              <w:pStyle w:val="Tabletext"/>
              <w:rPr>
                <w:color w:val="000000"/>
                <w:lang w:eastAsia="en-AU"/>
              </w:rPr>
            </w:pPr>
            <w:r w:rsidRPr="00144E76">
              <w:rPr>
                <w:color w:val="000000"/>
                <w:lang w:eastAsia="en-AU"/>
              </w:rPr>
              <w:t>Q2student *Q4school</w:t>
            </w:r>
          </w:p>
        </w:tc>
        <w:tc>
          <w:tcPr>
            <w:tcW w:w="353" w:type="pct"/>
            <w:noWrap/>
            <w:hideMark/>
          </w:tcPr>
          <w:p w14:paraId="00487C80" w14:textId="77777777" w:rsidR="005C670F" w:rsidRPr="00D02E5D" w:rsidRDefault="005C670F" w:rsidP="00D02E5D">
            <w:pPr>
              <w:pStyle w:val="Tabletext"/>
            </w:pPr>
          </w:p>
        </w:tc>
        <w:tc>
          <w:tcPr>
            <w:tcW w:w="370" w:type="pct"/>
            <w:noWrap/>
            <w:hideMark/>
          </w:tcPr>
          <w:p w14:paraId="77DCDC37" w14:textId="77777777" w:rsidR="005C670F" w:rsidRPr="00D02E5D" w:rsidRDefault="005C670F" w:rsidP="00D02E5D">
            <w:pPr>
              <w:pStyle w:val="Tabletext"/>
            </w:pPr>
          </w:p>
        </w:tc>
        <w:tc>
          <w:tcPr>
            <w:tcW w:w="584" w:type="pct"/>
            <w:gridSpan w:val="2"/>
          </w:tcPr>
          <w:p w14:paraId="6EF92024" w14:textId="77777777" w:rsidR="005C670F" w:rsidRPr="00D02E5D" w:rsidRDefault="005C670F" w:rsidP="00D02E5D">
            <w:pPr>
              <w:pStyle w:val="Tabletext"/>
            </w:pPr>
          </w:p>
        </w:tc>
        <w:tc>
          <w:tcPr>
            <w:tcW w:w="900" w:type="pct"/>
            <w:gridSpan w:val="2"/>
          </w:tcPr>
          <w:p w14:paraId="6652FE89" w14:textId="77777777" w:rsidR="005C670F" w:rsidRPr="00D02E5D" w:rsidRDefault="005C670F" w:rsidP="00D02E5D">
            <w:pPr>
              <w:pStyle w:val="Tabletext"/>
            </w:pPr>
          </w:p>
        </w:tc>
        <w:tc>
          <w:tcPr>
            <w:tcW w:w="462" w:type="pct"/>
            <w:gridSpan w:val="4"/>
          </w:tcPr>
          <w:p w14:paraId="18FBB88C" w14:textId="77777777" w:rsidR="005C670F" w:rsidRPr="00D02E5D" w:rsidRDefault="005C670F" w:rsidP="00D02E5D">
            <w:pPr>
              <w:pStyle w:val="Tabletext"/>
            </w:pPr>
          </w:p>
        </w:tc>
        <w:tc>
          <w:tcPr>
            <w:tcW w:w="699" w:type="pct"/>
            <w:gridSpan w:val="4"/>
          </w:tcPr>
          <w:p w14:paraId="0BE3801F" w14:textId="77777777" w:rsidR="005C670F" w:rsidRPr="00D02E5D" w:rsidRDefault="005C670F" w:rsidP="00D02E5D">
            <w:pPr>
              <w:pStyle w:val="Tabletext"/>
            </w:pPr>
            <w:r w:rsidRPr="00D02E5D">
              <w:t>81.14***</w:t>
            </w:r>
          </w:p>
        </w:tc>
        <w:tc>
          <w:tcPr>
            <w:tcW w:w="459" w:type="pct"/>
            <w:gridSpan w:val="5"/>
          </w:tcPr>
          <w:p w14:paraId="31B6CDA6" w14:textId="77777777" w:rsidR="005C670F" w:rsidRPr="00D02E5D" w:rsidRDefault="005C670F" w:rsidP="00D02E5D">
            <w:pPr>
              <w:pStyle w:val="Tabletext"/>
            </w:pPr>
            <w:r w:rsidRPr="00D02E5D">
              <w:t>8.46</w:t>
            </w:r>
          </w:p>
        </w:tc>
      </w:tr>
      <w:tr w:rsidR="008C3D53" w:rsidRPr="00D02E5D" w14:paraId="44885EB9" w14:textId="77777777" w:rsidTr="00D02E5D">
        <w:trPr>
          <w:trHeight w:val="300"/>
        </w:trPr>
        <w:tc>
          <w:tcPr>
            <w:tcW w:w="1173" w:type="pct"/>
            <w:noWrap/>
          </w:tcPr>
          <w:p w14:paraId="01B60A74" w14:textId="77777777" w:rsidR="005C670F" w:rsidRPr="00F1360A" w:rsidRDefault="005C670F" w:rsidP="00F1360A">
            <w:pPr>
              <w:pStyle w:val="Tabletext"/>
              <w:rPr>
                <w:color w:val="000000"/>
                <w:lang w:eastAsia="en-AU"/>
              </w:rPr>
            </w:pPr>
            <w:r w:rsidRPr="00F1360A">
              <w:rPr>
                <w:color w:val="000000"/>
                <w:lang w:eastAsia="en-AU"/>
              </w:rPr>
              <w:t xml:space="preserve">Q3student *Q1school </w:t>
            </w:r>
          </w:p>
        </w:tc>
        <w:tc>
          <w:tcPr>
            <w:tcW w:w="353" w:type="pct"/>
            <w:noWrap/>
            <w:hideMark/>
          </w:tcPr>
          <w:p w14:paraId="3FBBC148" w14:textId="77777777" w:rsidR="005C670F" w:rsidRPr="00D02E5D" w:rsidRDefault="005C670F" w:rsidP="00D02E5D">
            <w:pPr>
              <w:pStyle w:val="Tabletext"/>
            </w:pPr>
          </w:p>
        </w:tc>
        <w:tc>
          <w:tcPr>
            <w:tcW w:w="370" w:type="pct"/>
            <w:noWrap/>
            <w:hideMark/>
          </w:tcPr>
          <w:p w14:paraId="20F2C964" w14:textId="77777777" w:rsidR="005C670F" w:rsidRPr="00D02E5D" w:rsidRDefault="005C670F" w:rsidP="00D02E5D">
            <w:pPr>
              <w:pStyle w:val="Tabletext"/>
            </w:pPr>
          </w:p>
        </w:tc>
        <w:tc>
          <w:tcPr>
            <w:tcW w:w="584" w:type="pct"/>
            <w:gridSpan w:val="2"/>
          </w:tcPr>
          <w:p w14:paraId="1D24D0D4" w14:textId="77777777" w:rsidR="005C670F" w:rsidRPr="00D02E5D" w:rsidRDefault="005C670F" w:rsidP="00D02E5D">
            <w:pPr>
              <w:pStyle w:val="Tabletext"/>
            </w:pPr>
          </w:p>
        </w:tc>
        <w:tc>
          <w:tcPr>
            <w:tcW w:w="900" w:type="pct"/>
            <w:gridSpan w:val="2"/>
          </w:tcPr>
          <w:p w14:paraId="286C2424" w14:textId="77777777" w:rsidR="005C670F" w:rsidRPr="00D02E5D" w:rsidRDefault="005C670F" w:rsidP="00D02E5D">
            <w:pPr>
              <w:pStyle w:val="Tabletext"/>
            </w:pPr>
          </w:p>
        </w:tc>
        <w:tc>
          <w:tcPr>
            <w:tcW w:w="462" w:type="pct"/>
            <w:gridSpan w:val="4"/>
          </w:tcPr>
          <w:p w14:paraId="57B34BB9" w14:textId="77777777" w:rsidR="005C670F" w:rsidRPr="00D02E5D" w:rsidRDefault="005C670F" w:rsidP="00D02E5D">
            <w:pPr>
              <w:pStyle w:val="Tabletext"/>
            </w:pPr>
          </w:p>
        </w:tc>
        <w:tc>
          <w:tcPr>
            <w:tcW w:w="699" w:type="pct"/>
            <w:gridSpan w:val="4"/>
          </w:tcPr>
          <w:p w14:paraId="146CDF76" w14:textId="77777777" w:rsidR="005C670F" w:rsidRPr="00D02E5D" w:rsidRDefault="005C670F" w:rsidP="00D02E5D">
            <w:pPr>
              <w:pStyle w:val="Tabletext"/>
            </w:pPr>
            <w:r w:rsidRPr="00D02E5D">
              <w:t>42.89***</w:t>
            </w:r>
          </w:p>
        </w:tc>
        <w:tc>
          <w:tcPr>
            <w:tcW w:w="459" w:type="pct"/>
            <w:gridSpan w:val="5"/>
          </w:tcPr>
          <w:p w14:paraId="2FC570E2" w14:textId="77777777" w:rsidR="005C670F" w:rsidRPr="00D02E5D" w:rsidRDefault="005C670F" w:rsidP="00D02E5D">
            <w:pPr>
              <w:pStyle w:val="Tabletext"/>
            </w:pPr>
            <w:r w:rsidRPr="00D02E5D">
              <w:t>7.41</w:t>
            </w:r>
          </w:p>
        </w:tc>
      </w:tr>
      <w:tr w:rsidR="008C3D53" w:rsidRPr="00D02E5D" w14:paraId="7CEFEEDF" w14:textId="77777777" w:rsidTr="00D02E5D">
        <w:trPr>
          <w:trHeight w:val="300"/>
        </w:trPr>
        <w:tc>
          <w:tcPr>
            <w:tcW w:w="1173" w:type="pct"/>
            <w:noWrap/>
          </w:tcPr>
          <w:p w14:paraId="3EA6CA21" w14:textId="77777777" w:rsidR="005C670F" w:rsidRPr="00144E76" w:rsidRDefault="005C670F" w:rsidP="00F1360A">
            <w:pPr>
              <w:pStyle w:val="Tabletext"/>
              <w:rPr>
                <w:color w:val="000000"/>
                <w:lang w:eastAsia="en-AU"/>
              </w:rPr>
            </w:pPr>
            <w:r w:rsidRPr="00144E76">
              <w:rPr>
                <w:color w:val="000000"/>
                <w:lang w:eastAsia="en-AU"/>
              </w:rPr>
              <w:t>Q3student *Q2school</w:t>
            </w:r>
          </w:p>
        </w:tc>
        <w:tc>
          <w:tcPr>
            <w:tcW w:w="353" w:type="pct"/>
            <w:noWrap/>
          </w:tcPr>
          <w:p w14:paraId="1FA5358C" w14:textId="77777777" w:rsidR="005C670F" w:rsidRPr="00D02E5D" w:rsidRDefault="005C670F" w:rsidP="00D02E5D">
            <w:pPr>
              <w:pStyle w:val="Tabletext"/>
            </w:pPr>
          </w:p>
        </w:tc>
        <w:tc>
          <w:tcPr>
            <w:tcW w:w="370" w:type="pct"/>
            <w:noWrap/>
          </w:tcPr>
          <w:p w14:paraId="2004025F" w14:textId="77777777" w:rsidR="005C670F" w:rsidRPr="00D02E5D" w:rsidRDefault="005C670F" w:rsidP="00D02E5D">
            <w:pPr>
              <w:pStyle w:val="Tabletext"/>
            </w:pPr>
          </w:p>
        </w:tc>
        <w:tc>
          <w:tcPr>
            <w:tcW w:w="584" w:type="pct"/>
            <w:gridSpan w:val="2"/>
          </w:tcPr>
          <w:p w14:paraId="54DBA710" w14:textId="77777777" w:rsidR="005C670F" w:rsidRPr="00D02E5D" w:rsidRDefault="005C670F" w:rsidP="00D02E5D">
            <w:pPr>
              <w:pStyle w:val="Tabletext"/>
            </w:pPr>
          </w:p>
        </w:tc>
        <w:tc>
          <w:tcPr>
            <w:tcW w:w="900" w:type="pct"/>
            <w:gridSpan w:val="2"/>
          </w:tcPr>
          <w:p w14:paraId="09A505A1" w14:textId="77777777" w:rsidR="005C670F" w:rsidRPr="00D02E5D" w:rsidRDefault="005C670F" w:rsidP="00D02E5D">
            <w:pPr>
              <w:pStyle w:val="Tabletext"/>
            </w:pPr>
          </w:p>
        </w:tc>
        <w:tc>
          <w:tcPr>
            <w:tcW w:w="462" w:type="pct"/>
            <w:gridSpan w:val="4"/>
          </w:tcPr>
          <w:p w14:paraId="1AD5ABC9" w14:textId="77777777" w:rsidR="005C670F" w:rsidRPr="00D02E5D" w:rsidRDefault="005C670F" w:rsidP="00D02E5D">
            <w:pPr>
              <w:pStyle w:val="Tabletext"/>
            </w:pPr>
          </w:p>
        </w:tc>
        <w:tc>
          <w:tcPr>
            <w:tcW w:w="699" w:type="pct"/>
            <w:gridSpan w:val="4"/>
          </w:tcPr>
          <w:p w14:paraId="122BFDA3" w14:textId="77777777" w:rsidR="005C670F" w:rsidRPr="00D02E5D" w:rsidRDefault="005C670F" w:rsidP="00D02E5D">
            <w:pPr>
              <w:pStyle w:val="Tabletext"/>
            </w:pPr>
            <w:r w:rsidRPr="00D02E5D">
              <w:t>58.96***</w:t>
            </w:r>
          </w:p>
        </w:tc>
        <w:tc>
          <w:tcPr>
            <w:tcW w:w="459" w:type="pct"/>
            <w:gridSpan w:val="5"/>
          </w:tcPr>
          <w:p w14:paraId="3CAE11DC" w14:textId="77777777" w:rsidR="005C670F" w:rsidRPr="00D02E5D" w:rsidRDefault="005C670F" w:rsidP="00D02E5D">
            <w:pPr>
              <w:pStyle w:val="Tabletext"/>
            </w:pPr>
            <w:r w:rsidRPr="00D02E5D">
              <w:t>6.54</w:t>
            </w:r>
          </w:p>
        </w:tc>
      </w:tr>
      <w:tr w:rsidR="008C3D53" w:rsidRPr="00D02E5D" w14:paraId="024C86F4" w14:textId="77777777" w:rsidTr="00D02E5D">
        <w:trPr>
          <w:trHeight w:val="300"/>
        </w:trPr>
        <w:tc>
          <w:tcPr>
            <w:tcW w:w="1173" w:type="pct"/>
            <w:noWrap/>
          </w:tcPr>
          <w:p w14:paraId="1BABEBEE" w14:textId="77777777" w:rsidR="005C670F" w:rsidRPr="00144E76" w:rsidRDefault="005C670F" w:rsidP="00F1360A">
            <w:pPr>
              <w:pStyle w:val="Tabletext"/>
              <w:rPr>
                <w:color w:val="000000"/>
                <w:lang w:eastAsia="en-AU"/>
              </w:rPr>
            </w:pPr>
            <w:r w:rsidRPr="00144E76">
              <w:rPr>
                <w:color w:val="000000"/>
                <w:lang w:eastAsia="en-AU"/>
              </w:rPr>
              <w:t>Q3student *Q3school</w:t>
            </w:r>
          </w:p>
        </w:tc>
        <w:tc>
          <w:tcPr>
            <w:tcW w:w="353" w:type="pct"/>
            <w:noWrap/>
          </w:tcPr>
          <w:p w14:paraId="2D86DA4F" w14:textId="77777777" w:rsidR="005C670F" w:rsidRPr="00D02E5D" w:rsidRDefault="005C670F" w:rsidP="00D02E5D">
            <w:pPr>
              <w:pStyle w:val="Tabletext"/>
            </w:pPr>
          </w:p>
        </w:tc>
        <w:tc>
          <w:tcPr>
            <w:tcW w:w="370" w:type="pct"/>
            <w:noWrap/>
          </w:tcPr>
          <w:p w14:paraId="2971E22A" w14:textId="77777777" w:rsidR="005C670F" w:rsidRPr="00D02E5D" w:rsidRDefault="005C670F" w:rsidP="00D02E5D">
            <w:pPr>
              <w:pStyle w:val="Tabletext"/>
            </w:pPr>
          </w:p>
        </w:tc>
        <w:tc>
          <w:tcPr>
            <w:tcW w:w="584" w:type="pct"/>
            <w:gridSpan w:val="2"/>
          </w:tcPr>
          <w:p w14:paraId="10FE3A74" w14:textId="77777777" w:rsidR="005C670F" w:rsidRPr="00D02E5D" w:rsidRDefault="005C670F" w:rsidP="00D02E5D">
            <w:pPr>
              <w:pStyle w:val="Tabletext"/>
            </w:pPr>
          </w:p>
        </w:tc>
        <w:tc>
          <w:tcPr>
            <w:tcW w:w="900" w:type="pct"/>
            <w:gridSpan w:val="2"/>
          </w:tcPr>
          <w:p w14:paraId="04153BC7" w14:textId="77777777" w:rsidR="005C670F" w:rsidRPr="00D02E5D" w:rsidRDefault="005C670F" w:rsidP="00D02E5D">
            <w:pPr>
              <w:pStyle w:val="Tabletext"/>
            </w:pPr>
          </w:p>
        </w:tc>
        <w:tc>
          <w:tcPr>
            <w:tcW w:w="462" w:type="pct"/>
            <w:gridSpan w:val="4"/>
          </w:tcPr>
          <w:p w14:paraId="3DA2E748" w14:textId="77777777" w:rsidR="005C670F" w:rsidRPr="00D02E5D" w:rsidRDefault="005C670F" w:rsidP="00D02E5D">
            <w:pPr>
              <w:pStyle w:val="Tabletext"/>
            </w:pPr>
          </w:p>
        </w:tc>
        <w:tc>
          <w:tcPr>
            <w:tcW w:w="699" w:type="pct"/>
            <w:gridSpan w:val="4"/>
          </w:tcPr>
          <w:p w14:paraId="2D8F9285" w14:textId="77777777" w:rsidR="005C670F" w:rsidRPr="00D02E5D" w:rsidRDefault="005C670F" w:rsidP="00D02E5D">
            <w:pPr>
              <w:pStyle w:val="Tabletext"/>
            </w:pPr>
            <w:r w:rsidRPr="00D02E5D">
              <w:t>74.94***</w:t>
            </w:r>
          </w:p>
        </w:tc>
        <w:tc>
          <w:tcPr>
            <w:tcW w:w="459" w:type="pct"/>
            <w:gridSpan w:val="5"/>
          </w:tcPr>
          <w:p w14:paraId="77F4B83A" w14:textId="77777777" w:rsidR="005C670F" w:rsidRPr="00D02E5D" w:rsidRDefault="005C670F" w:rsidP="00D02E5D">
            <w:pPr>
              <w:pStyle w:val="Tabletext"/>
            </w:pPr>
            <w:r w:rsidRPr="00D02E5D">
              <w:t>6.66</w:t>
            </w:r>
          </w:p>
        </w:tc>
      </w:tr>
      <w:tr w:rsidR="008C3D53" w:rsidRPr="00D02E5D" w14:paraId="71C59889" w14:textId="77777777" w:rsidTr="00D02E5D">
        <w:trPr>
          <w:trHeight w:val="300"/>
        </w:trPr>
        <w:tc>
          <w:tcPr>
            <w:tcW w:w="1173" w:type="pct"/>
            <w:noWrap/>
          </w:tcPr>
          <w:p w14:paraId="4CE1F81C" w14:textId="77777777" w:rsidR="005C670F" w:rsidRPr="00F1360A" w:rsidRDefault="005C670F" w:rsidP="00144E76">
            <w:pPr>
              <w:pStyle w:val="Tabletext"/>
              <w:rPr>
                <w:color w:val="000000"/>
                <w:lang w:eastAsia="en-AU"/>
              </w:rPr>
            </w:pPr>
            <w:r w:rsidRPr="00F1360A">
              <w:rPr>
                <w:color w:val="000000"/>
                <w:lang w:eastAsia="en-AU"/>
              </w:rPr>
              <w:t>Q3student *Q4school</w:t>
            </w:r>
          </w:p>
        </w:tc>
        <w:tc>
          <w:tcPr>
            <w:tcW w:w="353" w:type="pct"/>
            <w:noWrap/>
            <w:hideMark/>
          </w:tcPr>
          <w:p w14:paraId="13F8303B" w14:textId="77777777" w:rsidR="005C670F" w:rsidRPr="00D02E5D" w:rsidRDefault="005C670F" w:rsidP="00D02E5D">
            <w:pPr>
              <w:pStyle w:val="Tabletext"/>
            </w:pPr>
          </w:p>
        </w:tc>
        <w:tc>
          <w:tcPr>
            <w:tcW w:w="370" w:type="pct"/>
            <w:noWrap/>
            <w:hideMark/>
          </w:tcPr>
          <w:p w14:paraId="335EFAB0" w14:textId="77777777" w:rsidR="005C670F" w:rsidRPr="00D02E5D" w:rsidRDefault="005C670F" w:rsidP="00D02E5D">
            <w:pPr>
              <w:pStyle w:val="Tabletext"/>
            </w:pPr>
          </w:p>
        </w:tc>
        <w:tc>
          <w:tcPr>
            <w:tcW w:w="584" w:type="pct"/>
            <w:gridSpan w:val="2"/>
          </w:tcPr>
          <w:p w14:paraId="5DC3EEB4" w14:textId="77777777" w:rsidR="005C670F" w:rsidRPr="00D02E5D" w:rsidRDefault="005C670F" w:rsidP="00D02E5D">
            <w:pPr>
              <w:pStyle w:val="Tabletext"/>
            </w:pPr>
          </w:p>
        </w:tc>
        <w:tc>
          <w:tcPr>
            <w:tcW w:w="900" w:type="pct"/>
            <w:gridSpan w:val="2"/>
          </w:tcPr>
          <w:p w14:paraId="40A95525" w14:textId="77777777" w:rsidR="005C670F" w:rsidRPr="00D02E5D" w:rsidRDefault="005C670F" w:rsidP="00D02E5D">
            <w:pPr>
              <w:pStyle w:val="Tabletext"/>
            </w:pPr>
          </w:p>
        </w:tc>
        <w:tc>
          <w:tcPr>
            <w:tcW w:w="462" w:type="pct"/>
            <w:gridSpan w:val="4"/>
          </w:tcPr>
          <w:p w14:paraId="3B34398B" w14:textId="77777777" w:rsidR="005C670F" w:rsidRPr="00D02E5D" w:rsidRDefault="005C670F" w:rsidP="00D02E5D">
            <w:pPr>
              <w:pStyle w:val="Tabletext"/>
            </w:pPr>
          </w:p>
        </w:tc>
        <w:tc>
          <w:tcPr>
            <w:tcW w:w="699" w:type="pct"/>
            <w:gridSpan w:val="4"/>
          </w:tcPr>
          <w:p w14:paraId="5D905FD0" w14:textId="77777777" w:rsidR="005C670F" w:rsidRPr="00D02E5D" w:rsidRDefault="005C670F" w:rsidP="00D02E5D">
            <w:pPr>
              <w:pStyle w:val="Tabletext"/>
            </w:pPr>
            <w:r w:rsidRPr="00D02E5D">
              <w:t>103.30***</w:t>
            </w:r>
          </w:p>
        </w:tc>
        <w:tc>
          <w:tcPr>
            <w:tcW w:w="459" w:type="pct"/>
            <w:gridSpan w:val="5"/>
          </w:tcPr>
          <w:p w14:paraId="06B891FF" w14:textId="77777777" w:rsidR="005C670F" w:rsidRPr="00D02E5D" w:rsidRDefault="005C670F" w:rsidP="00D02E5D">
            <w:pPr>
              <w:pStyle w:val="Tabletext"/>
            </w:pPr>
            <w:r w:rsidRPr="00D02E5D">
              <w:t>8.61</w:t>
            </w:r>
          </w:p>
        </w:tc>
      </w:tr>
      <w:tr w:rsidR="008C3D53" w:rsidRPr="00D02E5D" w14:paraId="4AB12FCB" w14:textId="77777777" w:rsidTr="00D02E5D">
        <w:trPr>
          <w:trHeight w:val="300"/>
        </w:trPr>
        <w:tc>
          <w:tcPr>
            <w:tcW w:w="1173" w:type="pct"/>
            <w:noWrap/>
          </w:tcPr>
          <w:p w14:paraId="4479A2C0" w14:textId="77777777" w:rsidR="005C670F" w:rsidRPr="00F1360A" w:rsidRDefault="005C670F" w:rsidP="00F1360A">
            <w:pPr>
              <w:pStyle w:val="Tabletext"/>
              <w:rPr>
                <w:color w:val="000000"/>
                <w:lang w:eastAsia="en-AU"/>
              </w:rPr>
            </w:pPr>
            <w:r w:rsidRPr="00F1360A">
              <w:rPr>
                <w:color w:val="000000"/>
                <w:lang w:eastAsia="en-AU"/>
              </w:rPr>
              <w:t>Q4student *Q1school</w:t>
            </w:r>
          </w:p>
        </w:tc>
        <w:tc>
          <w:tcPr>
            <w:tcW w:w="353" w:type="pct"/>
            <w:noWrap/>
            <w:hideMark/>
          </w:tcPr>
          <w:p w14:paraId="096577A5" w14:textId="77777777" w:rsidR="005C670F" w:rsidRPr="00D02E5D" w:rsidRDefault="005C670F" w:rsidP="00D02E5D">
            <w:pPr>
              <w:pStyle w:val="Tabletext"/>
            </w:pPr>
          </w:p>
        </w:tc>
        <w:tc>
          <w:tcPr>
            <w:tcW w:w="370" w:type="pct"/>
            <w:noWrap/>
            <w:hideMark/>
          </w:tcPr>
          <w:p w14:paraId="14ABAAE5" w14:textId="77777777" w:rsidR="005C670F" w:rsidRPr="00D02E5D" w:rsidRDefault="005C670F" w:rsidP="00D02E5D">
            <w:pPr>
              <w:pStyle w:val="Tabletext"/>
            </w:pPr>
          </w:p>
        </w:tc>
        <w:tc>
          <w:tcPr>
            <w:tcW w:w="584" w:type="pct"/>
            <w:gridSpan w:val="2"/>
          </w:tcPr>
          <w:p w14:paraId="18C7BE47" w14:textId="77777777" w:rsidR="005C670F" w:rsidRPr="00D02E5D" w:rsidRDefault="005C670F" w:rsidP="00D02E5D">
            <w:pPr>
              <w:pStyle w:val="Tabletext"/>
            </w:pPr>
          </w:p>
        </w:tc>
        <w:tc>
          <w:tcPr>
            <w:tcW w:w="900" w:type="pct"/>
            <w:gridSpan w:val="2"/>
          </w:tcPr>
          <w:p w14:paraId="41DB6E47" w14:textId="77777777" w:rsidR="005C670F" w:rsidRPr="00D02E5D" w:rsidRDefault="005C670F" w:rsidP="00D02E5D">
            <w:pPr>
              <w:pStyle w:val="Tabletext"/>
            </w:pPr>
          </w:p>
        </w:tc>
        <w:tc>
          <w:tcPr>
            <w:tcW w:w="462" w:type="pct"/>
            <w:gridSpan w:val="4"/>
          </w:tcPr>
          <w:p w14:paraId="1A227462" w14:textId="77777777" w:rsidR="005C670F" w:rsidRPr="00D02E5D" w:rsidRDefault="005C670F" w:rsidP="00D02E5D">
            <w:pPr>
              <w:pStyle w:val="Tabletext"/>
            </w:pPr>
          </w:p>
        </w:tc>
        <w:tc>
          <w:tcPr>
            <w:tcW w:w="699" w:type="pct"/>
            <w:gridSpan w:val="4"/>
          </w:tcPr>
          <w:p w14:paraId="36D79E3B" w14:textId="77777777" w:rsidR="005C670F" w:rsidRPr="00D02E5D" w:rsidRDefault="005C670F" w:rsidP="00D02E5D">
            <w:pPr>
              <w:pStyle w:val="Tabletext"/>
            </w:pPr>
            <w:r w:rsidRPr="00D02E5D">
              <w:t>65.55***</w:t>
            </w:r>
          </w:p>
        </w:tc>
        <w:tc>
          <w:tcPr>
            <w:tcW w:w="459" w:type="pct"/>
            <w:gridSpan w:val="5"/>
          </w:tcPr>
          <w:p w14:paraId="08DE13FB" w14:textId="77777777" w:rsidR="005C670F" w:rsidRPr="00D02E5D" w:rsidRDefault="005C670F" w:rsidP="00D02E5D">
            <w:pPr>
              <w:pStyle w:val="Tabletext"/>
            </w:pPr>
            <w:r w:rsidRPr="00D02E5D">
              <w:t>8.45</w:t>
            </w:r>
          </w:p>
        </w:tc>
      </w:tr>
      <w:tr w:rsidR="008C3D53" w:rsidRPr="00D02E5D" w14:paraId="6E8EFC46" w14:textId="77777777" w:rsidTr="00D02E5D">
        <w:trPr>
          <w:trHeight w:val="300"/>
        </w:trPr>
        <w:tc>
          <w:tcPr>
            <w:tcW w:w="1173" w:type="pct"/>
            <w:noWrap/>
          </w:tcPr>
          <w:p w14:paraId="0A834DA6" w14:textId="77777777" w:rsidR="005C670F" w:rsidRPr="00F1360A" w:rsidRDefault="005C670F" w:rsidP="00F1360A">
            <w:pPr>
              <w:pStyle w:val="Tabletext"/>
              <w:rPr>
                <w:color w:val="000000"/>
                <w:lang w:eastAsia="en-AU"/>
              </w:rPr>
            </w:pPr>
            <w:r w:rsidRPr="00F1360A">
              <w:rPr>
                <w:color w:val="000000"/>
                <w:lang w:eastAsia="en-AU"/>
              </w:rPr>
              <w:t>Q4student *Q2school</w:t>
            </w:r>
          </w:p>
        </w:tc>
        <w:tc>
          <w:tcPr>
            <w:tcW w:w="353" w:type="pct"/>
            <w:noWrap/>
            <w:hideMark/>
          </w:tcPr>
          <w:p w14:paraId="6A46970B" w14:textId="77777777" w:rsidR="005C670F" w:rsidRPr="00D02E5D" w:rsidRDefault="005C670F" w:rsidP="00D02E5D">
            <w:pPr>
              <w:pStyle w:val="Tabletext"/>
            </w:pPr>
          </w:p>
        </w:tc>
        <w:tc>
          <w:tcPr>
            <w:tcW w:w="370" w:type="pct"/>
            <w:noWrap/>
            <w:hideMark/>
          </w:tcPr>
          <w:p w14:paraId="311D749D" w14:textId="77777777" w:rsidR="005C670F" w:rsidRPr="00D02E5D" w:rsidRDefault="005C670F" w:rsidP="00D02E5D">
            <w:pPr>
              <w:pStyle w:val="Tabletext"/>
            </w:pPr>
          </w:p>
        </w:tc>
        <w:tc>
          <w:tcPr>
            <w:tcW w:w="584" w:type="pct"/>
            <w:gridSpan w:val="2"/>
          </w:tcPr>
          <w:p w14:paraId="520F68ED" w14:textId="77777777" w:rsidR="005C670F" w:rsidRPr="00D02E5D" w:rsidRDefault="005C670F" w:rsidP="00D02E5D">
            <w:pPr>
              <w:pStyle w:val="Tabletext"/>
            </w:pPr>
          </w:p>
        </w:tc>
        <w:tc>
          <w:tcPr>
            <w:tcW w:w="900" w:type="pct"/>
            <w:gridSpan w:val="2"/>
          </w:tcPr>
          <w:p w14:paraId="34392749" w14:textId="77777777" w:rsidR="005C670F" w:rsidRPr="00D02E5D" w:rsidRDefault="005C670F" w:rsidP="00D02E5D">
            <w:pPr>
              <w:pStyle w:val="Tabletext"/>
            </w:pPr>
          </w:p>
        </w:tc>
        <w:tc>
          <w:tcPr>
            <w:tcW w:w="462" w:type="pct"/>
            <w:gridSpan w:val="4"/>
          </w:tcPr>
          <w:p w14:paraId="0FA4F789" w14:textId="77777777" w:rsidR="005C670F" w:rsidRPr="00D02E5D" w:rsidRDefault="005C670F" w:rsidP="00D02E5D">
            <w:pPr>
              <w:pStyle w:val="Tabletext"/>
            </w:pPr>
          </w:p>
        </w:tc>
        <w:tc>
          <w:tcPr>
            <w:tcW w:w="699" w:type="pct"/>
            <w:gridSpan w:val="4"/>
          </w:tcPr>
          <w:p w14:paraId="46B8F858" w14:textId="77777777" w:rsidR="005C670F" w:rsidRPr="00D02E5D" w:rsidRDefault="005C670F" w:rsidP="00D02E5D">
            <w:pPr>
              <w:pStyle w:val="Tabletext"/>
            </w:pPr>
            <w:r w:rsidRPr="00D02E5D">
              <w:t>78.74***</w:t>
            </w:r>
          </w:p>
        </w:tc>
        <w:tc>
          <w:tcPr>
            <w:tcW w:w="459" w:type="pct"/>
            <w:gridSpan w:val="5"/>
          </w:tcPr>
          <w:p w14:paraId="411C1CF0" w14:textId="77777777" w:rsidR="005C670F" w:rsidRPr="00D02E5D" w:rsidRDefault="005C670F" w:rsidP="00D02E5D">
            <w:pPr>
              <w:pStyle w:val="Tabletext"/>
            </w:pPr>
            <w:r w:rsidRPr="00D02E5D">
              <w:t>7.09</w:t>
            </w:r>
          </w:p>
        </w:tc>
      </w:tr>
      <w:tr w:rsidR="008C3D53" w:rsidRPr="00D02E5D" w14:paraId="68C5CB6F" w14:textId="77777777" w:rsidTr="00D02E5D">
        <w:trPr>
          <w:trHeight w:val="300"/>
        </w:trPr>
        <w:tc>
          <w:tcPr>
            <w:tcW w:w="1173" w:type="pct"/>
            <w:noWrap/>
          </w:tcPr>
          <w:p w14:paraId="7E710881" w14:textId="77777777" w:rsidR="005C670F" w:rsidRPr="00F1360A" w:rsidRDefault="005C670F" w:rsidP="00F1360A">
            <w:pPr>
              <w:pStyle w:val="Tabletext"/>
              <w:rPr>
                <w:color w:val="000000"/>
                <w:lang w:eastAsia="en-AU"/>
              </w:rPr>
            </w:pPr>
            <w:r w:rsidRPr="00144E76">
              <w:rPr>
                <w:color w:val="000000"/>
                <w:lang w:eastAsia="en-AU"/>
              </w:rPr>
              <w:t>Q4student</w:t>
            </w:r>
            <w:r w:rsidRPr="008C3D53">
              <w:rPr>
                <w:color w:val="000000"/>
                <w:lang w:eastAsia="en-AU"/>
              </w:rPr>
              <w:t xml:space="preserve"> </w:t>
            </w:r>
            <w:r w:rsidRPr="00F1360A">
              <w:rPr>
                <w:color w:val="000000"/>
                <w:lang w:eastAsia="en-AU"/>
              </w:rPr>
              <w:t>*Q3school</w:t>
            </w:r>
          </w:p>
        </w:tc>
        <w:tc>
          <w:tcPr>
            <w:tcW w:w="353" w:type="pct"/>
            <w:noWrap/>
          </w:tcPr>
          <w:p w14:paraId="51603F76" w14:textId="77777777" w:rsidR="005C670F" w:rsidRPr="00D02E5D" w:rsidRDefault="005C670F" w:rsidP="00D02E5D">
            <w:pPr>
              <w:pStyle w:val="Tabletext"/>
            </w:pPr>
          </w:p>
        </w:tc>
        <w:tc>
          <w:tcPr>
            <w:tcW w:w="370" w:type="pct"/>
            <w:noWrap/>
          </w:tcPr>
          <w:p w14:paraId="746F82C8" w14:textId="77777777" w:rsidR="005C670F" w:rsidRPr="00D02E5D" w:rsidRDefault="005C670F" w:rsidP="00D02E5D">
            <w:pPr>
              <w:pStyle w:val="Tabletext"/>
            </w:pPr>
          </w:p>
        </w:tc>
        <w:tc>
          <w:tcPr>
            <w:tcW w:w="584" w:type="pct"/>
            <w:gridSpan w:val="2"/>
          </w:tcPr>
          <w:p w14:paraId="74F92897" w14:textId="77777777" w:rsidR="005C670F" w:rsidRPr="00D02E5D" w:rsidRDefault="005C670F" w:rsidP="00D02E5D">
            <w:pPr>
              <w:pStyle w:val="Tabletext"/>
            </w:pPr>
          </w:p>
        </w:tc>
        <w:tc>
          <w:tcPr>
            <w:tcW w:w="900" w:type="pct"/>
            <w:gridSpan w:val="2"/>
          </w:tcPr>
          <w:p w14:paraId="15972577" w14:textId="77777777" w:rsidR="005C670F" w:rsidRPr="00D02E5D" w:rsidRDefault="005C670F" w:rsidP="00D02E5D">
            <w:pPr>
              <w:pStyle w:val="Tabletext"/>
            </w:pPr>
          </w:p>
        </w:tc>
        <w:tc>
          <w:tcPr>
            <w:tcW w:w="462" w:type="pct"/>
            <w:gridSpan w:val="4"/>
          </w:tcPr>
          <w:p w14:paraId="6284FC67" w14:textId="77777777" w:rsidR="005C670F" w:rsidRPr="00D02E5D" w:rsidRDefault="005C670F" w:rsidP="00D02E5D">
            <w:pPr>
              <w:pStyle w:val="Tabletext"/>
            </w:pPr>
          </w:p>
        </w:tc>
        <w:tc>
          <w:tcPr>
            <w:tcW w:w="699" w:type="pct"/>
            <w:gridSpan w:val="4"/>
          </w:tcPr>
          <w:p w14:paraId="22D3E1C6" w14:textId="77777777" w:rsidR="005C670F" w:rsidRPr="00D02E5D" w:rsidRDefault="005C670F" w:rsidP="00D02E5D">
            <w:pPr>
              <w:pStyle w:val="Tabletext"/>
            </w:pPr>
            <w:r w:rsidRPr="00D02E5D">
              <w:t>89.05***</w:t>
            </w:r>
          </w:p>
        </w:tc>
        <w:tc>
          <w:tcPr>
            <w:tcW w:w="459" w:type="pct"/>
            <w:gridSpan w:val="5"/>
          </w:tcPr>
          <w:p w14:paraId="3589210D" w14:textId="77777777" w:rsidR="005C670F" w:rsidRPr="00D02E5D" w:rsidRDefault="005C670F" w:rsidP="00D02E5D">
            <w:pPr>
              <w:pStyle w:val="Tabletext"/>
            </w:pPr>
            <w:r w:rsidRPr="00D02E5D">
              <w:t>6.54</w:t>
            </w:r>
          </w:p>
        </w:tc>
      </w:tr>
      <w:tr w:rsidR="008C3D53" w:rsidRPr="00D02E5D" w14:paraId="2C0637E0" w14:textId="77777777" w:rsidTr="00D02E5D">
        <w:trPr>
          <w:trHeight w:val="300"/>
        </w:trPr>
        <w:tc>
          <w:tcPr>
            <w:tcW w:w="1173" w:type="pct"/>
            <w:noWrap/>
          </w:tcPr>
          <w:p w14:paraId="071A47C1" w14:textId="77777777" w:rsidR="005C670F" w:rsidRPr="00F1360A" w:rsidRDefault="005C670F" w:rsidP="00F1360A">
            <w:pPr>
              <w:pStyle w:val="Tabletext"/>
              <w:rPr>
                <w:color w:val="000000"/>
                <w:lang w:eastAsia="en-AU"/>
              </w:rPr>
            </w:pPr>
            <w:r w:rsidRPr="00F1360A">
              <w:rPr>
                <w:color w:val="000000"/>
                <w:lang w:eastAsia="en-AU"/>
              </w:rPr>
              <w:t>Q4student*Q4school</w:t>
            </w:r>
          </w:p>
        </w:tc>
        <w:tc>
          <w:tcPr>
            <w:tcW w:w="353" w:type="pct"/>
            <w:noWrap/>
          </w:tcPr>
          <w:p w14:paraId="163F7635" w14:textId="77777777" w:rsidR="005C670F" w:rsidRPr="00D02E5D" w:rsidRDefault="005C670F" w:rsidP="00D02E5D">
            <w:pPr>
              <w:pStyle w:val="Tabletext"/>
            </w:pPr>
          </w:p>
        </w:tc>
        <w:tc>
          <w:tcPr>
            <w:tcW w:w="370" w:type="pct"/>
            <w:noWrap/>
          </w:tcPr>
          <w:p w14:paraId="1BA6807C" w14:textId="77777777" w:rsidR="005C670F" w:rsidRPr="00D02E5D" w:rsidRDefault="005C670F" w:rsidP="00D02E5D">
            <w:pPr>
              <w:pStyle w:val="Tabletext"/>
            </w:pPr>
          </w:p>
        </w:tc>
        <w:tc>
          <w:tcPr>
            <w:tcW w:w="584" w:type="pct"/>
            <w:gridSpan w:val="2"/>
          </w:tcPr>
          <w:p w14:paraId="5D9BD57C" w14:textId="77777777" w:rsidR="005C670F" w:rsidRPr="00D02E5D" w:rsidRDefault="005C670F" w:rsidP="00D02E5D">
            <w:pPr>
              <w:pStyle w:val="Tabletext"/>
            </w:pPr>
          </w:p>
        </w:tc>
        <w:tc>
          <w:tcPr>
            <w:tcW w:w="900" w:type="pct"/>
            <w:gridSpan w:val="2"/>
          </w:tcPr>
          <w:p w14:paraId="3E59D7FB" w14:textId="77777777" w:rsidR="005C670F" w:rsidRPr="00D02E5D" w:rsidRDefault="005C670F" w:rsidP="00D02E5D">
            <w:pPr>
              <w:pStyle w:val="Tabletext"/>
            </w:pPr>
          </w:p>
        </w:tc>
        <w:tc>
          <w:tcPr>
            <w:tcW w:w="462" w:type="pct"/>
            <w:gridSpan w:val="4"/>
          </w:tcPr>
          <w:p w14:paraId="17BF7B2C" w14:textId="77777777" w:rsidR="005C670F" w:rsidRPr="00D02E5D" w:rsidRDefault="005C670F" w:rsidP="00D02E5D">
            <w:pPr>
              <w:pStyle w:val="Tabletext"/>
            </w:pPr>
          </w:p>
        </w:tc>
        <w:tc>
          <w:tcPr>
            <w:tcW w:w="699" w:type="pct"/>
            <w:gridSpan w:val="4"/>
          </w:tcPr>
          <w:p w14:paraId="27E5094C" w14:textId="77777777" w:rsidR="005C670F" w:rsidRPr="00D02E5D" w:rsidRDefault="005C670F" w:rsidP="00D02E5D">
            <w:pPr>
              <w:pStyle w:val="Tabletext"/>
            </w:pPr>
            <w:r w:rsidRPr="00D02E5D">
              <w:t>116.64***</w:t>
            </w:r>
          </w:p>
        </w:tc>
        <w:tc>
          <w:tcPr>
            <w:tcW w:w="459" w:type="pct"/>
            <w:gridSpan w:val="5"/>
          </w:tcPr>
          <w:p w14:paraId="18A278EF" w14:textId="77777777" w:rsidR="005C670F" w:rsidRPr="00D02E5D" w:rsidRDefault="005C670F" w:rsidP="00D02E5D">
            <w:pPr>
              <w:pStyle w:val="Tabletext"/>
            </w:pPr>
            <w:r w:rsidRPr="00D02E5D">
              <w:t>7.59</w:t>
            </w:r>
          </w:p>
        </w:tc>
      </w:tr>
      <w:tr w:rsidR="008C3D53" w:rsidRPr="00D02E5D" w14:paraId="64CEB764" w14:textId="77777777" w:rsidTr="00D02E5D">
        <w:trPr>
          <w:trHeight w:val="300"/>
        </w:trPr>
        <w:tc>
          <w:tcPr>
            <w:tcW w:w="1173" w:type="pct"/>
            <w:noWrap/>
          </w:tcPr>
          <w:p w14:paraId="059A580E" w14:textId="77777777" w:rsidR="005C670F" w:rsidRPr="00F1360A" w:rsidRDefault="005C670F" w:rsidP="00F1360A">
            <w:pPr>
              <w:pStyle w:val="Tabletext"/>
              <w:rPr>
                <w:b/>
                <w:color w:val="000000"/>
                <w:lang w:eastAsia="en-AU"/>
              </w:rPr>
            </w:pPr>
            <w:r w:rsidRPr="00F1360A">
              <w:rPr>
                <w:b/>
                <w:color w:val="000000"/>
                <w:lang w:eastAsia="en-AU"/>
              </w:rPr>
              <w:t>Sector</w:t>
            </w:r>
          </w:p>
        </w:tc>
        <w:tc>
          <w:tcPr>
            <w:tcW w:w="353" w:type="pct"/>
            <w:noWrap/>
          </w:tcPr>
          <w:p w14:paraId="0D30D619" w14:textId="77777777" w:rsidR="005C670F" w:rsidRPr="00D02E5D" w:rsidRDefault="005C670F" w:rsidP="00D02E5D">
            <w:pPr>
              <w:pStyle w:val="Tabletext"/>
            </w:pPr>
          </w:p>
        </w:tc>
        <w:tc>
          <w:tcPr>
            <w:tcW w:w="370" w:type="pct"/>
            <w:noWrap/>
          </w:tcPr>
          <w:p w14:paraId="25923BB9" w14:textId="77777777" w:rsidR="005C670F" w:rsidRPr="00D02E5D" w:rsidRDefault="005C670F" w:rsidP="00D02E5D">
            <w:pPr>
              <w:pStyle w:val="Tabletext"/>
            </w:pPr>
          </w:p>
        </w:tc>
        <w:tc>
          <w:tcPr>
            <w:tcW w:w="584" w:type="pct"/>
            <w:gridSpan w:val="2"/>
          </w:tcPr>
          <w:p w14:paraId="7609FC59" w14:textId="77777777" w:rsidR="005C670F" w:rsidRPr="00D02E5D" w:rsidRDefault="005C670F" w:rsidP="00D02E5D">
            <w:pPr>
              <w:pStyle w:val="Tabletext"/>
            </w:pPr>
          </w:p>
        </w:tc>
        <w:tc>
          <w:tcPr>
            <w:tcW w:w="900" w:type="pct"/>
            <w:gridSpan w:val="2"/>
          </w:tcPr>
          <w:p w14:paraId="7822E1DB" w14:textId="77777777" w:rsidR="005C670F" w:rsidRPr="00D02E5D" w:rsidRDefault="005C670F" w:rsidP="00D02E5D">
            <w:pPr>
              <w:pStyle w:val="Tabletext"/>
            </w:pPr>
          </w:p>
        </w:tc>
        <w:tc>
          <w:tcPr>
            <w:tcW w:w="462" w:type="pct"/>
            <w:gridSpan w:val="4"/>
          </w:tcPr>
          <w:p w14:paraId="6D3F94C1" w14:textId="77777777" w:rsidR="005C670F" w:rsidRPr="00D02E5D" w:rsidRDefault="005C670F" w:rsidP="00D02E5D">
            <w:pPr>
              <w:pStyle w:val="Tabletext"/>
            </w:pPr>
          </w:p>
        </w:tc>
        <w:tc>
          <w:tcPr>
            <w:tcW w:w="699" w:type="pct"/>
            <w:gridSpan w:val="4"/>
          </w:tcPr>
          <w:p w14:paraId="3B3A963E" w14:textId="77777777" w:rsidR="005C670F" w:rsidRPr="00D02E5D" w:rsidRDefault="005C670F" w:rsidP="00D02E5D">
            <w:pPr>
              <w:pStyle w:val="Tabletext"/>
            </w:pPr>
          </w:p>
        </w:tc>
        <w:tc>
          <w:tcPr>
            <w:tcW w:w="459" w:type="pct"/>
            <w:gridSpan w:val="5"/>
          </w:tcPr>
          <w:p w14:paraId="51A2922D" w14:textId="77777777" w:rsidR="005C670F" w:rsidRPr="00D02E5D" w:rsidRDefault="005C670F" w:rsidP="00D02E5D">
            <w:pPr>
              <w:pStyle w:val="Tabletext"/>
            </w:pPr>
          </w:p>
        </w:tc>
      </w:tr>
      <w:tr w:rsidR="008C3D53" w:rsidRPr="00D02E5D" w14:paraId="075DF087" w14:textId="77777777" w:rsidTr="00D02E5D">
        <w:trPr>
          <w:trHeight w:val="300"/>
        </w:trPr>
        <w:tc>
          <w:tcPr>
            <w:tcW w:w="1173" w:type="pct"/>
            <w:noWrap/>
          </w:tcPr>
          <w:p w14:paraId="695E5882" w14:textId="77777777" w:rsidR="005C670F" w:rsidRPr="00F1360A" w:rsidRDefault="005C670F" w:rsidP="00F1360A">
            <w:pPr>
              <w:pStyle w:val="Tabletext"/>
              <w:rPr>
                <w:color w:val="000000"/>
                <w:lang w:eastAsia="en-AU"/>
              </w:rPr>
            </w:pPr>
            <w:r w:rsidRPr="00F1360A">
              <w:rPr>
                <w:color w:val="000000"/>
                <w:lang w:eastAsia="en-AU"/>
              </w:rPr>
              <w:t>Government (ref.)</w:t>
            </w:r>
          </w:p>
        </w:tc>
        <w:tc>
          <w:tcPr>
            <w:tcW w:w="353" w:type="pct"/>
            <w:noWrap/>
          </w:tcPr>
          <w:p w14:paraId="6376639E" w14:textId="77777777" w:rsidR="005C670F" w:rsidRPr="00D02E5D" w:rsidRDefault="005C670F" w:rsidP="00D02E5D">
            <w:pPr>
              <w:pStyle w:val="Tabletext"/>
            </w:pPr>
          </w:p>
        </w:tc>
        <w:tc>
          <w:tcPr>
            <w:tcW w:w="370" w:type="pct"/>
            <w:noWrap/>
          </w:tcPr>
          <w:p w14:paraId="4FD88FEB" w14:textId="77777777" w:rsidR="005C670F" w:rsidRPr="00D02E5D" w:rsidRDefault="005C670F" w:rsidP="00D02E5D">
            <w:pPr>
              <w:pStyle w:val="Tabletext"/>
            </w:pPr>
          </w:p>
        </w:tc>
        <w:tc>
          <w:tcPr>
            <w:tcW w:w="584" w:type="pct"/>
            <w:gridSpan w:val="2"/>
          </w:tcPr>
          <w:p w14:paraId="42161D50" w14:textId="77777777" w:rsidR="005C670F" w:rsidRPr="00D02E5D" w:rsidRDefault="005C670F" w:rsidP="00D02E5D">
            <w:pPr>
              <w:pStyle w:val="Tabletext"/>
            </w:pPr>
          </w:p>
        </w:tc>
        <w:tc>
          <w:tcPr>
            <w:tcW w:w="900" w:type="pct"/>
            <w:gridSpan w:val="2"/>
          </w:tcPr>
          <w:p w14:paraId="656F51F7" w14:textId="77777777" w:rsidR="005C670F" w:rsidRPr="00D02E5D" w:rsidRDefault="005C670F" w:rsidP="00D02E5D">
            <w:pPr>
              <w:pStyle w:val="Tabletext"/>
            </w:pPr>
          </w:p>
        </w:tc>
        <w:tc>
          <w:tcPr>
            <w:tcW w:w="462" w:type="pct"/>
            <w:gridSpan w:val="4"/>
          </w:tcPr>
          <w:p w14:paraId="7AA84AA4" w14:textId="77777777" w:rsidR="005C670F" w:rsidRPr="00D02E5D" w:rsidRDefault="005C670F" w:rsidP="00D02E5D">
            <w:pPr>
              <w:pStyle w:val="Tabletext"/>
            </w:pPr>
          </w:p>
        </w:tc>
        <w:tc>
          <w:tcPr>
            <w:tcW w:w="699" w:type="pct"/>
            <w:gridSpan w:val="4"/>
          </w:tcPr>
          <w:p w14:paraId="25447495" w14:textId="77777777" w:rsidR="005C670F" w:rsidRPr="00D02E5D" w:rsidRDefault="005C670F" w:rsidP="00D02E5D">
            <w:pPr>
              <w:pStyle w:val="Tabletext"/>
            </w:pPr>
          </w:p>
        </w:tc>
        <w:tc>
          <w:tcPr>
            <w:tcW w:w="459" w:type="pct"/>
            <w:gridSpan w:val="5"/>
          </w:tcPr>
          <w:p w14:paraId="4E394D79" w14:textId="77777777" w:rsidR="005C670F" w:rsidRPr="00D02E5D" w:rsidRDefault="005C670F" w:rsidP="00D02E5D">
            <w:pPr>
              <w:pStyle w:val="Tabletext"/>
            </w:pPr>
          </w:p>
        </w:tc>
      </w:tr>
      <w:tr w:rsidR="008C3D53" w:rsidRPr="00D02E5D" w14:paraId="2B6D23ED" w14:textId="77777777" w:rsidTr="00D02E5D">
        <w:trPr>
          <w:gridAfter w:val="1"/>
          <w:wAfter w:w="48" w:type="pct"/>
          <w:trHeight w:val="300"/>
        </w:trPr>
        <w:tc>
          <w:tcPr>
            <w:tcW w:w="1173" w:type="pct"/>
            <w:noWrap/>
          </w:tcPr>
          <w:p w14:paraId="39E12F27" w14:textId="77777777" w:rsidR="005C670F" w:rsidRPr="00F1360A" w:rsidRDefault="005C670F" w:rsidP="00F1360A">
            <w:pPr>
              <w:pStyle w:val="Tabletext"/>
              <w:rPr>
                <w:color w:val="000000"/>
                <w:lang w:eastAsia="en-AU"/>
              </w:rPr>
            </w:pPr>
            <w:r w:rsidRPr="00F1360A">
              <w:rPr>
                <w:color w:val="000000"/>
                <w:lang w:eastAsia="en-AU"/>
              </w:rPr>
              <w:t xml:space="preserve">Catholic </w:t>
            </w:r>
          </w:p>
        </w:tc>
        <w:tc>
          <w:tcPr>
            <w:tcW w:w="353" w:type="pct"/>
            <w:noWrap/>
            <w:hideMark/>
          </w:tcPr>
          <w:p w14:paraId="0EDAC948" w14:textId="77777777" w:rsidR="005C670F" w:rsidRPr="00D02E5D" w:rsidRDefault="005C670F" w:rsidP="00D02E5D">
            <w:pPr>
              <w:pStyle w:val="Tabletext"/>
            </w:pPr>
          </w:p>
        </w:tc>
        <w:tc>
          <w:tcPr>
            <w:tcW w:w="370" w:type="pct"/>
            <w:noWrap/>
            <w:hideMark/>
          </w:tcPr>
          <w:p w14:paraId="7A688806" w14:textId="77777777" w:rsidR="005C670F" w:rsidRPr="00D02E5D" w:rsidRDefault="005C670F" w:rsidP="00D02E5D">
            <w:pPr>
              <w:pStyle w:val="Tabletext"/>
            </w:pPr>
          </w:p>
        </w:tc>
        <w:tc>
          <w:tcPr>
            <w:tcW w:w="584" w:type="pct"/>
            <w:gridSpan w:val="2"/>
          </w:tcPr>
          <w:p w14:paraId="17374937" w14:textId="77777777" w:rsidR="005C670F" w:rsidRPr="00D02E5D" w:rsidRDefault="005C670F" w:rsidP="00D02E5D">
            <w:pPr>
              <w:pStyle w:val="Tabletext"/>
            </w:pPr>
          </w:p>
        </w:tc>
        <w:tc>
          <w:tcPr>
            <w:tcW w:w="900" w:type="pct"/>
            <w:gridSpan w:val="2"/>
          </w:tcPr>
          <w:p w14:paraId="3F008059" w14:textId="77777777" w:rsidR="005C670F" w:rsidRPr="00D02E5D" w:rsidRDefault="005C670F" w:rsidP="00D02E5D">
            <w:pPr>
              <w:pStyle w:val="Tabletext"/>
            </w:pPr>
            <w:r w:rsidRPr="00D02E5D">
              <w:t>-4.48</w:t>
            </w:r>
          </w:p>
        </w:tc>
        <w:tc>
          <w:tcPr>
            <w:tcW w:w="462" w:type="pct"/>
            <w:gridSpan w:val="4"/>
          </w:tcPr>
          <w:p w14:paraId="1148A71C" w14:textId="77777777" w:rsidR="005C670F" w:rsidRPr="00D02E5D" w:rsidRDefault="005C670F" w:rsidP="00D02E5D">
            <w:pPr>
              <w:pStyle w:val="Tabletext"/>
            </w:pPr>
            <w:r w:rsidRPr="00D02E5D">
              <w:t>4.68</w:t>
            </w:r>
          </w:p>
        </w:tc>
        <w:tc>
          <w:tcPr>
            <w:tcW w:w="699" w:type="pct"/>
            <w:gridSpan w:val="4"/>
          </w:tcPr>
          <w:p w14:paraId="2B3F894E" w14:textId="77777777" w:rsidR="005C670F" w:rsidRPr="00D02E5D" w:rsidRDefault="005C670F" w:rsidP="00D02E5D">
            <w:pPr>
              <w:pStyle w:val="Tabletext"/>
            </w:pPr>
            <w:r w:rsidRPr="00D02E5D">
              <w:t>-3.76</w:t>
            </w:r>
          </w:p>
        </w:tc>
        <w:tc>
          <w:tcPr>
            <w:tcW w:w="411" w:type="pct"/>
            <w:gridSpan w:val="4"/>
          </w:tcPr>
          <w:p w14:paraId="3F834EA7" w14:textId="77777777" w:rsidR="005C670F" w:rsidRPr="00D02E5D" w:rsidRDefault="005C670F" w:rsidP="00D02E5D">
            <w:pPr>
              <w:pStyle w:val="Tabletext"/>
            </w:pPr>
            <w:r w:rsidRPr="00D02E5D">
              <w:t>4.55</w:t>
            </w:r>
          </w:p>
        </w:tc>
      </w:tr>
      <w:tr w:rsidR="008C3D53" w:rsidRPr="00D02E5D" w14:paraId="28F70C54" w14:textId="77777777" w:rsidTr="00D02E5D">
        <w:trPr>
          <w:gridAfter w:val="1"/>
          <w:wAfter w:w="48" w:type="pct"/>
          <w:trHeight w:val="300"/>
        </w:trPr>
        <w:tc>
          <w:tcPr>
            <w:tcW w:w="1173" w:type="pct"/>
            <w:noWrap/>
          </w:tcPr>
          <w:p w14:paraId="15080AF9" w14:textId="77777777" w:rsidR="005C670F" w:rsidRPr="00F1360A" w:rsidRDefault="005C670F" w:rsidP="00F1360A">
            <w:pPr>
              <w:pStyle w:val="Tabletext"/>
              <w:rPr>
                <w:color w:val="000000"/>
                <w:lang w:eastAsia="en-AU"/>
              </w:rPr>
            </w:pPr>
            <w:r w:rsidRPr="00F1360A">
              <w:rPr>
                <w:color w:val="000000"/>
                <w:lang w:eastAsia="en-AU"/>
              </w:rPr>
              <w:t xml:space="preserve">Independent </w:t>
            </w:r>
          </w:p>
        </w:tc>
        <w:tc>
          <w:tcPr>
            <w:tcW w:w="353" w:type="pct"/>
            <w:noWrap/>
            <w:hideMark/>
          </w:tcPr>
          <w:p w14:paraId="7099BE0F" w14:textId="77777777" w:rsidR="005C670F" w:rsidRPr="00D02E5D" w:rsidRDefault="005C670F" w:rsidP="00D02E5D">
            <w:pPr>
              <w:pStyle w:val="Tabletext"/>
            </w:pPr>
          </w:p>
        </w:tc>
        <w:tc>
          <w:tcPr>
            <w:tcW w:w="370" w:type="pct"/>
            <w:noWrap/>
            <w:hideMark/>
          </w:tcPr>
          <w:p w14:paraId="551D29DA" w14:textId="77777777" w:rsidR="005C670F" w:rsidRPr="00D02E5D" w:rsidRDefault="005C670F" w:rsidP="00D02E5D">
            <w:pPr>
              <w:pStyle w:val="Tabletext"/>
            </w:pPr>
          </w:p>
        </w:tc>
        <w:tc>
          <w:tcPr>
            <w:tcW w:w="584" w:type="pct"/>
            <w:gridSpan w:val="2"/>
          </w:tcPr>
          <w:p w14:paraId="5ADB7952" w14:textId="77777777" w:rsidR="005C670F" w:rsidRPr="00D02E5D" w:rsidRDefault="005C670F" w:rsidP="00D02E5D">
            <w:pPr>
              <w:pStyle w:val="Tabletext"/>
            </w:pPr>
          </w:p>
        </w:tc>
        <w:tc>
          <w:tcPr>
            <w:tcW w:w="900" w:type="pct"/>
            <w:gridSpan w:val="2"/>
          </w:tcPr>
          <w:p w14:paraId="30CA128F" w14:textId="77777777" w:rsidR="005C670F" w:rsidRPr="00D02E5D" w:rsidRDefault="005C670F" w:rsidP="00D02E5D">
            <w:pPr>
              <w:pStyle w:val="Tabletext"/>
            </w:pPr>
            <w:r w:rsidRPr="00D02E5D">
              <w:t>3.41</w:t>
            </w:r>
          </w:p>
        </w:tc>
        <w:tc>
          <w:tcPr>
            <w:tcW w:w="462" w:type="pct"/>
            <w:gridSpan w:val="4"/>
          </w:tcPr>
          <w:p w14:paraId="5336D4A2" w14:textId="77777777" w:rsidR="005C670F" w:rsidRPr="00D02E5D" w:rsidRDefault="005C670F" w:rsidP="00D02E5D">
            <w:pPr>
              <w:pStyle w:val="Tabletext"/>
            </w:pPr>
            <w:r w:rsidRPr="00D02E5D">
              <w:t>6.22</w:t>
            </w:r>
          </w:p>
        </w:tc>
        <w:tc>
          <w:tcPr>
            <w:tcW w:w="699" w:type="pct"/>
            <w:gridSpan w:val="4"/>
          </w:tcPr>
          <w:p w14:paraId="79883F23" w14:textId="77777777" w:rsidR="005C670F" w:rsidRPr="00D02E5D" w:rsidRDefault="005C670F" w:rsidP="00D02E5D">
            <w:pPr>
              <w:pStyle w:val="Tabletext"/>
            </w:pPr>
            <w:r w:rsidRPr="00D02E5D">
              <w:t>1.06</w:t>
            </w:r>
          </w:p>
        </w:tc>
        <w:tc>
          <w:tcPr>
            <w:tcW w:w="411" w:type="pct"/>
            <w:gridSpan w:val="4"/>
          </w:tcPr>
          <w:p w14:paraId="7AEB1E51" w14:textId="77777777" w:rsidR="005C670F" w:rsidRPr="00D02E5D" w:rsidRDefault="005C670F" w:rsidP="00D02E5D">
            <w:pPr>
              <w:pStyle w:val="Tabletext"/>
            </w:pPr>
            <w:r w:rsidRPr="00D02E5D">
              <w:t>6.07</w:t>
            </w:r>
          </w:p>
        </w:tc>
      </w:tr>
      <w:tr w:rsidR="008C3D53" w:rsidRPr="00D02E5D" w14:paraId="762683B7" w14:textId="77777777" w:rsidTr="00D02E5D">
        <w:trPr>
          <w:gridAfter w:val="1"/>
          <w:wAfter w:w="48" w:type="pct"/>
          <w:trHeight w:val="300"/>
        </w:trPr>
        <w:tc>
          <w:tcPr>
            <w:tcW w:w="1173" w:type="pct"/>
            <w:noWrap/>
            <w:hideMark/>
          </w:tcPr>
          <w:p w14:paraId="28A0B295" w14:textId="77777777" w:rsidR="005C670F" w:rsidRPr="00F1360A" w:rsidRDefault="005C670F" w:rsidP="00F1360A">
            <w:pPr>
              <w:pStyle w:val="Tabletext"/>
              <w:rPr>
                <w:b/>
                <w:color w:val="000000"/>
                <w:lang w:eastAsia="en-AU"/>
              </w:rPr>
            </w:pPr>
            <w:r w:rsidRPr="00F1360A">
              <w:rPr>
                <w:b/>
                <w:color w:val="000000"/>
                <w:lang w:eastAsia="en-AU"/>
              </w:rPr>
              <w:t>Grade level 2009</w:t>
            </w:r>
          </w:p>
        </w:tc>
        <w:tc>
          <w:tcPr>
            <w:tcW w:w="353" w:type="pct"/>
            <w:noWrap/>
            <w:hideMark/>
          </w:tcPr>
          <w:p w14:paraId="37EFBD38" w14:textId="77777777" w:rsidR="005C670F" w:rsidRPr="00D02E5D" w:rsidRDefault="005C670F" w:rsidP="00D02E5D">
            <w:pPr>
              <w:pStyle w:val="Tabletext"/>
            </w:pPr>
          </w:p>
        </w:tc>
        <w:tc>
          <w:tcPr>
            <w:tcW w:w="370" w:type="pct"/>
            <w:noWrap/>
            <w:hideMark/>
          </w:tcPr>
          <w:p w14:paraId="033AE4F0" w14:textId="77777777" w:rsidR="005C670F" w:rsidRPr="00D02E5D" w:rsidRDefault="005C670F" w:rsidP="00D02E5D">
            <w:pPr>
              <w:pStyle w:val="Tabletext"/>
            </w:pPr>
          </w:p>
        </w:tc>
        <w:tc>
          <w:tcPr>
            <w:tcW w:w="584" w:type="pct"/>
            <w:gridSpan w:val="2"/>
          </w:tcPr>
          <w:p w14:paraId="056D8BA1" w14:textId="77777777" w:rsidR="005C670F" w:rsidRPr="00D02E5D" w:rsidRDefault="005C670F" w:rsidP="00D02E5D">
            <w:pPr>
              <w:pStyle w:val="Tabletext"/>
            </w:pPr>
          </w:p>
        </w:tc>
        <w:tc>
          <w:tcPr>
            <w:tcW w:w="900" w:type="pct"/>
            <w:gridSpan w:val="2"/>
          </w:tcPr>
          <w:p w14:paraId="56925B0F" w14:textId="77777777" w:rsidR="005C670F" w:rsidRPr="00D02E5D" w:rsidRDefault="005C670F" w:rsidP="00D02E5D">
            <w:pPr>
              <w:pStyle w:val="Tabletext"/>
            </w:pPr>
          </w:p>
        </w:tc>
        <w:tc>
          <w:tcPr>
            <w:tcW w:w="462" w:type="pct"/>
            <w:gridSpan w:val="4"/>
          </w:tcPr>
          <w:p w14:paraId="47BC286E" w14:textId="77777777" w:rsidR="005C670F" w:rsidRPr="00D02E5D" w:rsidRDefault="005C670F" w:rsidP="00D02E5D">
            <w:pPr>
              <w:pStyle w:val="Tabletext"/>
            </w:pPr>
          </w:p>
        </w:tc>
        <w:tc>
          <w:tcPr>
            <w:tcW w:w="699" w:type="pct"/>
            <w:gridSpan w:val="4"/>
          </w:tcPr>
          <w:p w14:paraId="1867D449" w14:textId="77777777" w:rsidR="005C670F" w:rsidRPr="00D02E5D" w:rsidRDefault="005C670F" w:rsidP="00D02E5D">
            <w:pPr>
              <w:pStyle w:val="Tabletext"/>
            </w:pPr>
          </w:p>
        </w:tc>
        <w:tc>
          <w:tcPr>
            <w:tcW w:w="411" w:type="pct"/>
            <w:gridSpan w:val="4"/>
          </w:tcPr>
          <w:p w14:paraId="6247C391" w14:textId="77777777" w:rsidR="005C670F" w:rsidRPr="00D02E5D" w:rsidRDefault="005C670F" w:rsidP="00D02E5D">
            <w:pPr>
              <w:pStyle w:val="Tabletext"/>
            </w:pPr>
          </w:p>
        </w:tc>
      </w:tr>
      <w:tr w:rsidR="008C3D53" w:rsidRPr="00D02E5D" w14:paraId="3C1A734B" w14:textId="77777777" w:rsidTr="00D02E5D">
        <w:trPr>
          <w:gridAfter w:val="1"/>
          <w:wAfter w:w="48" w:type="pct"/>
          <w:trHeight w:val="300"/>
        </w:trPr>
        <w:tc>
          <w:tcPr>
            <w:tcW w:w="1173" w:type="pct"/>
            <w:noWrap/>
            <w:hideMark/>
          </w:tcPr>
          <w:p w14:paraId="3E97EEDA" w14:textId="77777777" w:rsidR="005C670F" w:rsidRPr="00F1360A" w:rsidRDefault="005C670F" w:rsidP="00F1360A">
            <w:pPr>
              <w:pStyle w:val="Tabletext"/>
              <w:rPr>
                <w:color w:val="000000"/>
                <w:lang w:eastAsia="en-AU"/>
              </w:rPr>
            </w:pPr>
            <w:r w:rsidRPr="00F1360A">
              <w:rPr>
                <w:color w:val="000000"/>
                <w:lang w:eastAsia="en-AU"/>
              </w:rPr>
              <w:t xml:space="preserve">Grade 9 </w:t>
            </w:r>
          </w:p>
        </w:tc>
        <w:tc>
          <w:tcPr>
            <w:tcW w:w="723" w:type="pct"/>
            <w:gridSpan w:val="2"/>
            <w:noWrap/>
            <w:hideMark/>
          </w:tcPr>
          <w:p w14:paraId="65B30646" w14:textId="77777777" w:rsidR="005C670F" w:rsidRPr="00D02E5D" w:rsidRDefault="005C670F" w:rsidP="00D02E5D">
            <w:pPr>
              <w:pStyle w:val="Tabletext"/>
            </w:pPr>
            <w:r w:rsidRPr="00D02E5D">
              <w:t>-36.11***</w:t>
            </w:r>
          </w:p>
        </w:tc>
        <w:tc>
          <w:tcPr>
            <w:tcW w:w="584" w:type="pct"/>
            <w:gridSpan w:val="2"/>
          </w:tcPr>
          <w:p w14:paraId="2004868B" w14:textId="77777777" w:rsidR="005C670F" w:rsidRPr="00D02E5D" w:rsidRDefault="005C670F" w:rsidP="00D02E5D">
            <w:pPr>
              <w:pStyle w:val="Tabletext"/>
            </w:pPr>
            <w:r w:rsidRPr="00D02E5D">
              <w:t>4.17</w:t>
            </w:r>
          </w:p>
        </w:tc>
        <w:tc>
          <w:tcPr>
            <w:tcW w:w="926" w:type="pct"/>
            <w:gridSpan w:val="3"/>
          </w:tcPr>
          <w:p w14:paraId="68AA578A" w14:textId="77777777" w:rsidR="005C670F" w:rsidRPr="00D02E5D" w:rsidRDefault="005C670F" w:rsidP="00D02E5D">
            <w:pPr>
              <w:pStyle w:val="Tabletext"/>
            </w:pPr>
            <w:r w:rsidRPr="00D02E5D">
              <w:t>-37.43***</w:t>
            </w:r>
          </w:p>
        </w:tc>
        <w:tc>
          <w:tcPr>
            <w:tcW w:w="460" w:type="pct"/>
            <w:gridSpan w:val="4"/>
          </w:tcPr>
          <w:p w14:paraId="69ED2930" w14:textId="77777777" w:rsidR="005C670F" w:rsidRPr="00D02E5D" w:rsidRDefault="005C670F" w:rsidP="00D02E5D">
            <w:pPr>
              <w:pStyle w:val="Tabletext"/>
            </w:pPr>
            <w:r w:rsidRPr="00D02E5D">
              <w:t>3.97</w:t>
            </w:r>
          </w:p>
        </w:tc>
        <w:tc>
          <w:tcPr>
            <w:tcW w:w="697" w:type="pct"/>
            <w:gridSpan w:val="4"/>
          </w:tcPr>
          <w:p w14:paraId="4A521165" w14:textId="77777777" w:rsidR="005C670F" w:rsidRPr="00D02E5D" w:rsidRDefault="005C670F" w:rsidP="00D02E5D">
            <w:pPr>
              <w:pStyle w:val="Tabletext"/>
            </w:pPr>
            <w:r w:rsidRPr="00D02E5D">
              <w:t>-35.95***</w:t>
            </w:r>
          </w:p>
        </w:tc>
        <w:tc>
          <w:tcPr>
            <w:tcW w:w="389" w:type="pct"/>
            <w:gridSpan w:val="3"/>
          </w:tcPr>
          <w:p w14:paraId="49722C4D" w14:textId="77777777" w:rsidR="005C670F" w:rsidRPr="00D02E5D" w:rsidRDefault="005C670F" w:rsidP="00D02E5D">
            <w:pPr>
              <w:pStyle w:val="Tabletext"/>
            </w:pPr>
            <w:r w:rsidRPr="00D02E5D">
              <w:t>3.85</w:t>
            </w:r>
          </w:p>
        </w:tc>
      </w:tr>
      <w:tr w:rsidR="008C3D53" w:rsidRPr="00D02E5D" w14:paraId="15AEBD75" w14:textId="77777777" w:rsidTr="00D02E5D">
        <w:trPr>
          <w:gridAfter w:val="1"/>
          <w:wAfter w:w="48" w:type="pct"/>
          <w:trHeight w:val="300"/>
        </w:trPr>
        <w:tc>
          <w:tcPr>
            <w:tcW w:w="1173" w:type="pct"/>
            <w:noWrap/>
            <w:hideMark/>
          </w:tcPr>
          <w:p w14:paraId="5DC5DE9C" w14:textId="77777777" w:rsidR="005C670F" w:rsidRPr="00F1360A" w:rsidRDefault="005C670F" w:rsidP="00F1360A">
            <w:pPr>
              <w:pStyle w:val="Tabletext"/>
              <w:rPr>
                <w:color w:val="000000"/>
                <w:lang w:eastAsia="en-AU"/>
              </w:rPr>
            </w:pPr>
            <w:r w:rsidRPr="00F1360A">
              <w:rPr>
                <w:color w:val="000000"/>
                <w:lang w:eastAsia="en-AU"/>
              </w:rPr>
              <w:t>Grade 10 (ref.)</w:t>
            </w:r>
          </w:p>
        </w:tc>
        <w:tc>
          <w:tcPr>
            <w:tcW w:w="723" w:type="pct"/>
            <w:gridSpan w:val="2"/>
            <w:noWrap/>
          </w:tcPr>
          <w:p w14:paraId="0AF9E2C3" w14:textId="77777777" w:rsidR="005C670F" w:rsidRPr="00D02E5D" w:rsidRDefault="005C670F" w:rsidP="00D02E5D">
            <w:pPr>
              <w:pStyle w:val="Tabletext"/>
            </w:pPr>
          </w:p>
        </w:tc>
        <w:tc>
          <w:tcPr>
            <w:tcW w:w="584" w:type="pct"/>
            <w:gridSpan w:val="2"/>
          </w:tcPr>
          <w:p w14:paraId="2F7D0F62" w14:textId="77777777" w:rsidR="005C670F" w:rsidRPr="00D02E5D" w:rsidRDefault="005C670F" w:rsidP="00D02E5D">
            <w:pPr>
              <w:pStyle w:val="Tabletext"/>
            </w:pPr>
          </w:p>
        </w:tc>
        <w:tc>
          <w:tcPr>
            <w:tcW w:w="926" w:type="pct"/>
            <w:gridSpan w:val="3"/>
          </w:tcPr>
          <w:p w14:paraId="6BC3F372" w14:textId="77777777" w:rsidR="005C670F" w:rsidRPr="00D02E5D" w:rsidRDefault="005C670F" w:rsidP="00D02E5D">
            <w:pPr>
              <w:pStyle w:val="Tabletext"/>
            </w:pPr>
          </w:p>
        </w:tc>
        <w:tc>
          <w:tcPr>
            <w:tcW w:w="460" w:type="pct"/>
            <w:gridSpan w:val="4"/>
          </w:tcPr>
          <w:p w14:paraId="575F5C3E" w14:textId="77777777" w:rsidR="005C670F" w:rsidRPr="00D02E5D" w:rsidRDefault="005C670F" w:rsidP="00D02E5D">
            <w:pPr>
              <w:pStyle w:val="Tabletext"/>
            </w:pPr>
          </w:p>
        </w:tc>
        <w:tc>
          <w:tcPr>
            <w:tcW w:w="697" w:type="pct"/>
            <w:gridSpan w:val="4"/>
          </w:tcPr>
          <w:p w14:paraId="00628BDF" w14:textId="77777777" w:rsidR="005C670F" w:rsidRPr="00D02E5D" w:rsidRDefault="005C670F" w:rsidP="00D02E5D">
            <w:pPr>
              <w:pStyle w:val="Tabletext"/>
            </w:pPr>
          </w:p>
        </w:tc>
        <w:tc>
          <w:tcPr>
            <w:tcW w:w="389" w:type="pct"/>
            <w:gridSpan w:val="3"/>
          </w:tcPr>
          <w:p w14:paraId="5F9C9937" w14:textId="77777777" w:rsidR="005C670F" w:rsidRPr="00D02E5D" w:rsidRDefault="005C670F" w:rsidP="00D02E5D">
            <w:pPr>
              <w:pStyle w:val="Tabletext"/>
            </w:pPr>
          </w:p>
        </w:tc>
      </w:tr>
      <w:tr w:rsidR="008C3D53" w:rsidRPr="00D02E5D" w14:paraId="3110B720" w14:textId="77777777" w:rsidTr="00D02E5D">
        <w:trPr>
          <w:gridAfter w:val="1"/>
          <w:wAfter w:w="48" w:type="pct"/>
          <w:trHeight w:val="300"/>
        </w:trPr>
        <w:tc>
          <w:tcPr>
            <w:tcW w:w="1173" w:type="pct"/>
            <w:noWrap/>
            <w:hideMark/>
          </w:tcPr>
          <w:p w14:paraId="6BA6F7A2" w14:textId="77777777" w:rsidR="005C670F" w:rsidRPr="00F1360A" w:rsidRDefault="005C670F" w:rsidP="00F1360A">
            <w:pPr>
              <w:pStyle w:val="Tabletext"/>
              <w:rPr>
                <w:color w:val="000000"/>
                <w:lang w:eastAsia="en-AU"/>
              </w:rPr>
            </w:pPr>
            <w:r w:rsidRPr="00F1360A">
              <w:rPr>
                <w:color w:val="000000"/>
                <w:lang w:eastAsia="en-AU"/>
              </w:rPr>
              <w:t>Grade 11/12</w:t>
            </w:r>
          </w:p>
        </w:tc>
        <w:tc>
          <w:tcPr>
            <w:tcW w:w="723" w:type="pct"/>
            <w:gridSpan w:val="2"/>
            <w:noWrap/>
            <w:hideMark/>
          </w:tcPr>
          <w:p w14:paraId="7F7702A6" w14:textId="77777777" w:rsidR="005C670F" w:rsidRPr="00D02E5D" w:rsidRDefault="005C670F" w:rsidP="00D02E5D">
            <w:pPr>
              <w:pStyle w:val="Tabletext"/>
            </w:pPr>
            <w:r w:rsidRPr="00D02E5D">
              <w:t>22.98***</w:t>
            </w:r>
          </w:p>
        </w:tc>
        <w:tc>
          <w:tcPr>
            <w:tcW w:w="584" w:type="pct"/>
            <w:gridSpan w:val="2"/>
          </w:tcPr>
          <w:p w14:paraId="13ADA3CD" w14:textId="77777777" w:rsidR="005C670F" w:rsidRPr="00D02E5D" w:rsidRDefault="005C670F" w:rsidP="00D02E5D">
            <w:pPr>
              <w:pStyle w:val="Tabletext"/>
            </w:pPr>
            <w:r w:rsidRPr="00D02E5D">
              <w:t>3.23</w:t>
            </w:r>
          </w:p>
        </w:tc>
        <w:tc>
          <w:tcPr>
            <w:tcW w:w="926" w:type="pct"/>
            <w:gridSpan w:val="3"/>
          </w:tcPr>
          <w:p w14:paraId="0771AEF1" w14:textId="77777777" w:rsidR="005C670F" w:rsidRPr="00D02E5D" w:rsidRDefault="005C670F" w:rsidP="00D02E5D">
            <w:pPr>
              <w:pStyle w:val="Tabletext"/>
            </w:pPr>
            <w:r w:rsidRPr="00D02E5D">
              <w:t>24.62***</w:t>
            </w:r>
          </w:p>
        </w:tc>
        <w:tc>
          <w:tcPr>
            <w:tcW w:w="460" w:type="pct"/>
            <w:gridSpan w:val="4"/>
          </w:tcPr>
          <w:p w14:paraId="2F510142" w14:textId="77777777" w:rsidR="005C670F" w:rsidRPr="00D02E5D" w:rsidRDefault="005C670F" w:rsidP="00D02E5D">
            <w:pPr>
              <w:pStyle w:val="Tabletext"/>
            </w:pPr>
            <w:r w:rsidRPr="00D02E5D">
              <w:t>3.10</w:t>
            </w:r>
          </w:p>
        </w:tc>
        <w:tc>
          <w:tcPr>
            <w:tcW w:w="697" w:type="pct"/>
            <w:gridSpan w:val="4"/>
          </w:tcPr>
          <w:p w14:paraId="51AA132C" w14:textId="77777777" w:rsidR="005C670F" w:rsidRPr="00D02E5D" w:rsidRDefault="005C670F" w:rsidP="00D02E5D">
            <w:pPr>
              <w:pStyle w:val="Tabletext"/>
            </w:pPr>
            <w:r w:rsidRPr="00D02E5D">
              <w:t>24.22***</w:t>
            </w:r>
          </w:p>
        </w:tc>
        <w:tc>
          <w:tcPr>
            <w:tcW w:w="389" w:type="pct"/>
            <w:gridSpan w:val="3"/>
          </w:tcPr>
          <w:p w14:paraId="04AE62CB" w14:textId="77777777" w:rsidR="005C670F" w:rsidRPr="00D02E5D" w:rsidRDefault="005C670F" w:rsidP="00D02E5D">
            <w:pPr>
              <w:pStyle w:val="Tabletext"/>
            </w:pPr>
            <w:r w:rsidRPr="00D02E5D">
              <w:t>3.00</w:t>
            </w:r>
          </w:p>
        </w:tc>
      </w:tr>
      <w:tr w:rsidR="008C3D53" w:rsidRPr="00D02E5D" w14:paraId="366B4032" w14:textId="77777777" w:rsidTr="00D02E5D">
        <w:trPr>
          <w:gridAfter w:val="1"/>
          <w:wAfter w:w="48" w:type="pct"/>
          <w:trHeight w:val="300"/>
        </w:trPr>
        <w:tc>
          <w:tcPr>
            <w:tcW w:w="1173" w:type="pct"/>
            <w:noWrap/>
          </w:tcPr>
          <w:p w14:paraId="694E14FF" w14:textId="77777777" w:rsidR="005C670F" w:rsidRPr="00F1360A" w:rsidRDefault="005C670F" w:rsidP="00F1360A">
            <w:pPr>
              <w:pStyle w:val="Tabletext"/>
              <w:rPr>
                <w:b/>
                <w:color w:val="000000"/>
                <w:lang w:eastAsia="en-AU"/>
              </w:rPr>
            </w:pPr>
            <w:r w:rsidRPr="00F1360A">
              <w:rPr>
                <w:b/>
                <w:color w:val="000000"/>
                <w:lang w:eastAsia="en-AU"/>
              </w:rPr>
              <w:t>Sex Female =1</w:t>
            </w:r>
          </w:p>
        </w:tc>
        <w:tc>
          <w:tcPr>
            <w:tcW w:w="353" w:type="pct"/>
            <w:noWrap/>
          </w:tcPr>
          <w:p w14:paraId="73887AB0" w14:textId="77777777" w:rsidR="005C670F" w:rsidRPr="00D02E5D" w:rsidRDefault="005C670F" w:rsidP="00D02E5D">
            <w:pPr>
              <w:pStyle w:val="Tabletext"/>
            </w:pPr>
          </w:p>
        </w:tc>
        <w:tc>
          <w:tcPr>
            <w:tcW w:w="370" w:type="pct"/>
            <w:noWrap/>
          </w:tcPr>
          <w:p w14:paraId="55D79C09" w14:textId="77777777" w:rsidR="005C670F" w:rsidRPr="00D02E5D" w:rsidRDefault="005C670F" w:rsidP="00D02E5D">
            <w:pPr>
              <w:pStyle w:val="Tabletext"/>
            </w:pPr>
            <w:r w:rsidRPr="00D02E5D">
              <w:t>2.60</w:t>
            </w:r>
          </w:p>
        </w:tc>
        <w:tc>
          <w:tcPr>
            <w:tcW w:w="584" w:type="pct"/>
            <w:gridSpan w:val="2"/>
          </w:tcPr>
          <w:p w14:paraId="4B89E6E7" w14:textId="77777777" w:rsidR="005C670F" w:rsidRPr="00D02E5D" w:rsidRDefault="005C670F" w:rsidP="00D02E5D">
            <w:pPr>
              <w:pStyle w:val="Tabletext"/>
            </w:pPr>
            <w:r w:rsidRPr="00D02E5D">
              <w:t>2.40</w:t>
            </w:r>
          </w:p>
        </w:tc>
        <w:tc>
          <w:tcPr>
            <w:tcW w:w="900" w:type="pct"/>
            <w:gridSpan w:val="2"/>
          </w:tcPr>
          <w:p w14:paraId="046BF966" w14:textId="77777777" w:rsidR="005C670F" w:rsidRPr="00D02E5D" w:rsidRDefault="005C670F" w:rsidP="00D02E5D">
            <w:pPr>
              <w:pStyle w:val="Tabletext"/>
            </w:pPr>
            <w:r w:rsidRPr="00D02E5D">
              <w:t>-2.72</w:t>
            </w:r>
          </w:p>
        </w:tc>
        <w:tc>
          <w:tcPr>
            <w:tcW w:w="462" w:type="pct"/>
            <w:gridSpan w:val="4"/>
          </w:tcPr>
          <w:p w14:paraId="3D4B6A7D" w14:textId="77777777" w:rsidR="005C670F" w:rsidRPr="00D02E5D" w:rsidRDefault="005C670F" w:rsidP="00D02E5D">
            <w:pPr>
              <w:pStyle w:val="Tabletext"/>
            </w:pPr>
            <w:r w:rsidRPr="00D02E5D">
              <w:t>2.29</w:t>
            </w:r>
          </w:p>
        </w:tc>
        <w:tc>
          <w:tcPr>
            <w:tcW w:w="699" w:type="pct"/>
            <w:gridSpan w:val="4"/>
          </w:tcPr>
          <w:p w14:paraId="11410C3D" w14:textId="77777777" w:rsidR="005C670F" w:rsidRPr="00D02E5D" w:rsidRDefault="005C670F" w:rsidP="00D02E5D">
            <w:pPr>
              <w:pStyle w:val="Tabletext"/>
            </w:pPr>
            <w:r w:rsidRPr="00D02E5D">
              <w:t>-1.96</w:t>
            </w:r>
          </w:p>
        </w:tc>
        <w:tc>
          <w:tcPr>
            <w:tcW w:w="411" w:type="pct"/>
            <w:gridSpan w:val="4"/>
          </w:tcPr>
          <w:p w14:paraId="077F36F0" w14:textId="77777777" w:rsidR="005C670F" w:rsidRPr="00D02E5D" w:rsidRDefault="005C670F" w:rsidP="00D02E5D">
            <w:pPr>
              <w:pStyle w:val="Tabletext"/>
            </w:pPr>
            <w:r w:rsidRPr="00D02E5D">
              <w:t>2.19</w:t>
            </w:r>
          </w:p>
        </w:tc>
      </w:tr>
      <w:tr w:rsidR="008C3D53" w:rsidRPr="00D02E5D" w14:paraId="44EB782F" w14:textId="77777777" w:rsidTr="00D02E5D">
        <w:trPr>
          <w:gridAfter w:val="1"/>
          <w:wAfter w:w="48" w:type="pct"/>
          <w:trHeight w:val="300"/>
        </w:trPr>
        <w:tc>
          <w:tcPr>
            <w:tcW w:w="1173" w:type="pct"/>
            <w:noWrap/>
            <w:hideMark/>
          </w:tcPr>
          <w:p w14:paraId="4B8AA20B" w14:textId="77777777" w:rsidR="005C670F" w:rsidRPr="00F1360A" w:rsidRDefault="005C670F" w:rsidP="00F1360A">
            <w:pPr>
              <w:pStyle w:val="Tabletext"/>
              <w:rPr>
                <w:color w:val="000000"/>
                <w:lang w:eastAsia="en-AU"/>
              </w:rPr>
            </w:pPr>
            <w:r w:rsidRPr="00F1360A">
              <w:rPr>
                <w:color w:val="000000"/>
                <w:lang w:eastAsia="en-AU"/>
              </w:rPr>
              <w:t>Constant</w:t>
            </w:r>
          </w:p>
        </w:tc>
        <w:tc>
          <w:tcPr>
            <w:tcW w:w="723" w:type="pct"/>
            <w:gridSpan w:val="2"/>
            <w:noWrap/>
            <w:hideMark/>
          </w:tcPr>
          <w:p w14:paraId="20775EB5" w14:textId="77777777" w:rsidR="005C670F" w:rsidRPr="00D02E5D" w:rsidRDefault="005C670F" w:rsidP="00D02E5D">
            <w:pPr>
              <w:pStyle w:val="Tabletext"/>
            </w:pPr>
            <w:r w:rsidRPr="00D02E5D">
              <w:t>506.74***</w:t>
            </w:r>
          </w:p>
        </w:tc>
        <w:tc>
          <w:tcPr>
            <w:tcW w:w="584" w:type="pct"/>
            <w:gridSpan w:val="2"/>
          </w:tcPr>
          <w:p w14:paraId="1E791003" w14:textId="77777777" w:rsidR="005C670F" w:rsidRPr="00D02E5D" w:rsidRDefault="005C670F" w:rsidP="00D02E5D">
            <w:pPr>
              <w:pStyle w:val="Tabletext"/>
            </w:pPr>
            <w:r w:rsidRPr="00D02E5D">
              <w:t>3.66</w:t>
            </w:r>
          </w:p>
        </w:tc>
        <w:tc>
          <w:tcPr>
            <w:tcW w:w="926" w:type="pct"/>
            <w:gridSpan w:val="3"/>
          </w:tcPr>
          <w:p w14:paraId="2567F6CB" w14:textId="77777777" w:rsidR="005C670F" w:rsidRPr="00D02E5D" w:rsidRDefault="005C670F" w:rsidP="00D02E5D">
            <w:pPr>
              <w:pStyle w:val="Tabletext"/>
            </w:pPr>
            <w:r w:rsidRPr="00D02E5D">
              <w:t>508.00***</w:t>
            </w:r>
          </w:p>
        </w:tc>
        <w:tc>
          <w:tcPr>
            <w:tcW w:w="460" w:type="pct"/>
            <w:gridSpan w:val="4"/>
          </w:tcPr>
          <w:p w14:paraId="207389F6" w14:textId="77777777" w:rsidR="005C670F" w:rsidRPr="00D02E5D" w:rsidRDefault="005C670F" w:rsidP="00D02E5D">
            <w:pPr>
              <w:pStyle w:val="Tabletext"/>
            </w:pPr>
            <w:r w:rsidRPr="00D02E5D">
              <w:t>3.95</w:t>
            </w:r>
          </w:p>
        </w:tc>
        <w:tc>
          <w:tcPr>
            <w:tcW w:w="697" w:type="pct"/>
            <w:gridSpan w:val="4"/>
          </w:tcPr>
          <w:p w14:paraId="0B806F66" w14:textId="77777777" w:rsidR="005C670F" w:rsidRPr="00D02E5D" w:rsidRDefault="005C670F" w:rsidP="00D02E5D">
            <w:pPr>
              <w:pStyle w:val="Tabletext"/>
            </w:pPr>
            <w:r w:rsidRPr="00D02E5D">
              <w:t>483.15***</w:t>
            </w:r>
          </w:p>
        </w:tc>
        <w:tc>
          <w:tcPr>
            <w:tcW w:w="389" w:type="pct"/>
            <w:gridSpan w:val="3"/>
          </w:tcPr>
          <w:p w14:paraId="593E450A" w14:textId="77777777" w:rsidR="005C670F" w:rsidRPr="00D02E5D" w:rsidRDefault="005C670F" w:rsidP="00D02E5D">
            <w:pPr>
              <w:pStyle w:val="Tabletext"/>
            </w:pPr>
            <w:r w:rsidRPr="00D02E5D">
              <w:t>4.93</w:t>
            </w:r>
          </w:p>
        </w:tc>
      </w:tr>
      <w:tr w:rsidR="008C3D53" w:rsidRPr="00D02E5D" w14:paraId="7D681785" w14:textId="77777777" w:rsidTr="00D02E5D">
        <w:trPr>
          <w:gridAfter w:val="3"/>
          <w:wAfter w:w="208" w:type="pct"/>
          <w:trHeight w:val="300"/>
        </w:trPr>
        <w:tc>
          <w:tcPr>
            <w:tcW w:w="1173" w:type="pct"/>
            <w:noWrap/>
          </w:tcPr>
          <w:p w14:paraId="186E7DF7" w14:textId="77777777" w:rsidR="005C670F" w:rsidRPr="00F1360A" w:rsidRDefault="005C670F" w:rsidP="00F1360A">
            <w:pPr>
              <w:pStyle w:val="Tabletext"/>
              <w:rPr>
                <w:color w:val="000000"/>
              </w:rPr>
            </w:pPr>
            <w:r w:rsidRPr="00F1360A">
              <w:rPr>
                <w:color w:val="000000"/>
              </w:rPr>
              <w:t>n=</w:t>
            </w:r>
          </w:p>
        </w:tc>
        <w:tc>
          <w:tcPr>
            <w:tcW w:w="844" w:type="pct"/>
            <w:gridSpan w:val="3"/>
            <w:noWrap/>
          </w:tcPr>
          <w:p w14:paraId="61E32CDE" w14:textId="5E953D55" w:rsidR="005C670F" w:rsidRPr="00D02E5D" w:rsidRDefault="005C670F" w:rsidP="00D02E5D">
            <w:pPr>
              <w:pStyle w:val="Tabletext"/>
            </w:pPr>
            <w:r w:rsidRPr="00D02E5D">
              <w:t>5</w:t>
            </w:r>
            <w:r w:rsidR="00284783" w:rsidRPr="00D02E5D">
              <w:t xml:space="preserve"> </w:t>
            </w:r>
            <w:r w:rsidRPr="00D02E5D">
              <w:t>787</w:t>
            </w:r>
          </w:p>
        </w:tc>
        <w:tc>
          <w:tcPr>
            <w:tcW w:w="463" w:type="pct"/>
          </w:tcPr>
          <w:p w14:paraId="633D2D11" w14:textId="77777777" w:rsidR="005C670F" w:rsidRPr="00D02E5D" w:rsidRDefault="005C670F" w:rsidP="00D02E5D">
            <w:pPr>
              <w:pStyle w:val="Tabletext"/>
            </w:pPr>
          </w:p>
        </w:tc>
        <w:tc>
          <w:tcPr>
            <w:tcW w:w="926" w:type="pct"/>
            <w:gridSpan w:val="3"/>
          </w:tcPr>
          <w:p w14:paraId="3CF6DF02" w14:textId="443273E7" w:rsidR="005C670F" w:rsidRPr="00D02E5D" w:rsidRDefault="005C670F" w:rsidP="00D02E5D">
            <w:pPr>
              <w:pStyle w:val="Tabletext"/>
            </w:pPr>
            <w:r w:rsidRPr="00D02E5D">
              <w:t>5</w:t>
            </w:r>
            <w:r w:rsidR="00284783" w:rsidRPr="00D02E5D">
              <w:t xml:space="preserve"> </w:t>
            </w:r>
            <w:r w:rsidRPr="00D02E5D">
              <w:t>787</w:t>
            </w:r>
          </w:p>
        </w:tc>
        <w:tc>
          <w:tcPr>
            <w:tcW w:w="208" w:type="pct"/>
          </w:tcPr>
          <w:p w14:paraId="65D636E7" w14:textId="77777777" w:rsidR="005C670F" w:rsidRPr="00D02E5D" w:rsidRDefault="005C670F" w:rsidP="00D02E5D">
            <w:pPr>
              <w:pStyle w:val="Tabletext"/>
            </w:pPr>
          </w:p>
        </w:tc>
        <w:tc>
          <w:tcPr>
            <w:tcW w:w="543" w:type="pct"/>
            <w:gridSpan w:val="4"/>
          </w:tcPr>
          <w:p w14:paraId="66051A53" w14:textId="4BCAF554" w:rsidR="005C670F" w:rsidRPr="00D02E5D" w:rsidRDefault="005C670F" w:rsidP="00D02E5D">
            <w:pPr>
              <w:pStyle w:val="Tabletext"/>
            </w:pPr>
            <w:r w:rsidRPr="00D02E5D">
              <w:t>5</w:t>
            </w:r>
            <w:r w:rsidR="00284783" w:rsidRPr="00D02E5D">
              <w:t xml:space="preserve"> </w:t>
            </w:r>
            <w:r w:rsidRPr="00D02E5D">
              <w:t>787</w:t>
            </w:r>
          </w:p>
        </w:tc>
        <w:tc>
          <w:tcPr>
            <w:tcW w:w="635" w:type="pct"/>
            <w:gridSpan w:val="4"/>
          </w:tcPr>
          <w:p w14:paraId="6CCFDD42" w14:textId="77777777" w:rsidR="005C670F" w:rsidRPr="00D02E5D" w:rsidRDefault="005C670F" w:rsidP="00D02E5D">
            <w:pPr>
              <w:pStyle w:val="Tabletext"/>
            </w:pPr>
          </w:p>
        </w:tc>
      </w:tr>
      <w:tr w:rsidR="008C3D53" w:rsidRPr="00D02E5D" w14:paraId="0A00ACC9" w14:textId="77777777" w:rsidTr="00D02E5D">
        <w:trPr>
          <w:gridAfter w:val="3"/>
          <w:wAfter w:w="208" w:type="pct"/>
          <w:trHeight w:val="300"/>
        </w:trPr>
        <w:tc>
          <w:tcPr>
            <w:tcW w:w="1173" w:type="pct"/>
            <w:noWrap/>
          </w:tcPr>
          <w:p w14:paraId="1D5B54E9" w14:textId="77777777" w:rsidR="005C670F" w:rsidRPr="00F1360A" w:rsidRDefault="005C670F" w:rsidP="00F1360A">
            <w:pPr>
              <w:pStyle w:val="Tabletext"/>
              <w:rPr>
                <w:color w:val="000000"/>
              </w:rPr>
            </w:pPr>
            <w:r w:rsidRPr="00F1360A">
              <w:rPr>
                <w:color w:val="000000"/>
              </w:rPr>
              <w:t xml:space="preserve">Adjusted R-squared </w:t>
            </w:r>
          </w:p>
        </w:tc>
        <w:tc>
          <w:tcPr>
            <w:tcW w:w="844" w:type="pct"/>
            <w:gridSpan w:val="3"/>
            <w:noWrap/>
          </w:tcPr>
          <w:p w14:paraId="53D53168" w14:textId="77777777" w:rsidR="005C670F" w:rsidRPr="00D02E5D" w:rsidRDefault="005C670F" w:rsidP="00D02E5D">
            <w:pPr>
              <w:pStyle w:val="Tabletext"/>
            </w:pPr>
            <w:r w:rsidRPr="00D02E5D">
              <w:t>0.1448</w:t>
            </w:r>
          </w:p>
        </w:tc>
        <w:tc>
          <w:tcPr>
            <w:tcW w:w="463" w:type="pct"/>
          </w:tcPr>
          <w:p w14:paraId="34D5368D" w14:textId="77777777" w:rsidR="005C670F" w:rsidRPr="00D02E5D" w:rsidRDefault="005C670F" w:rsidP="00D02E5D">
            <w:pPr>
              <w:pStyle w:val="Tabletext"/>
            </w:pPr>
          </w:p>
        </w:tc>
        <w:tc>
          <w:tcPr>
            <w:tcW w:w="926" w:type="pct"/>
            <w:gridSpan w:val="3"/>
          </w:tcPr>
          <w:p w14:paraId="729A9BE8" w14:textId="77777777" w:rsidR="005C670F" w:rsidRPr="00D02E5D" w:rsidRDefault="005C670F" w:rsidP="00D02E5D">
            <w:pPr>
              <w:pStyle w:val="Tabletext"/>
            </w:pPr>
            <w:r w:rsidRPr="00D02E5D">
              <w:t>0.1583</w:t>
            </w:r>
          </w:p>
        </w:tc>
        <w:tc>
          <w:tcPr>
            <w:tcW w:w="208" w:type="pct"/>
          </w:tcPr>
          <w:p w14:paraId="305C0792" w14:textId="77777777" w:rsidR="005C670F" w:rsidRPr="00D02E5D" w:rsidRDefault="005C670F" w:rsidP="00D02E5D">
            <w:pPr>
              <w:pStyle w:val="Tabletext"/>
            </w:pPr>
          </w:p>
        </w:tc>
        <w:tc>
          <w:tcPr>
            <w:tcW w:w="543" w:type="pct"/>
            <w:gridSpan w:val="4"/>
          </w:tcPr>
          <w:p w14:paraId="559B4248" w14:textId="77777777" w:rsidR="005C670F" w:rsidRPr="00D02E5D" w:rsidRDefault="005C670F" w:rsidP="00D02E5D">
            <w:pPr>
              <w:pStyle w:val="Tabletext"/>
            </w:pPr>
            <w:r w:rsidRPr="00D02E5D">
              <w:t>0.1980</w:t>
            </w:r>
          </w:p>
        </w:tc>
        <w:tc>
          <w:tcPr>
            <w:tcW w:w="635" w:type="pct"/>
            <w:gridSpan w:val="4"/>
          </w:tcPr>
          <w:p w14:paraId="404AA09E" w14:textId="77777777" w:rsidR="005C670F" w:rsidRPr="00D02E5D" w:rsidRDefault="005C670F" w:rsidP="00D02E5D">
            <w:pPr>
              <w:pStyle w:val="Tabletext"/>
            </w:pPr>
          </w:p>
        </w:tc>
      </w:tr>
    </w:tbl>
    <w:p w14:paraId="56F15743" w14:textId="49A32965" w:rsidR="005C670F" w:rsidRDefault="005C670F" w:rsidP="00F1360A">
      <w:pPr>
        <w:pStyle w:val="Source"/>
      </w:pPr>
      <w:r>
        <w:t>*p&lt;0.05; **p&lt;0.01; ***p&lt;0.001</w:t>
      </w:r>
      <w:r w:rsidR="009F4FC7">
        <w:t>.</w:t>
      </w:r>
    </w:p>
    <w:p w14:paraId="03AD80AE" w14:textId="4184316F" w:rsidR="005C670F" w:rsidRDefault="005C670F" w:rsidP="005C670F">
      <w:pPr>
        <w:pStyle w:val="Heading2"/>
      </w:pPr>
      <w:bookmarkStart w:id="93" w:name="_Toc15048900"/>
      <w:bookmarkStart w:id="94" w:name="_Toc19803913"/>
      <w:r>
        <w:lastRenderedPageBreak/>
        <w:t>Associations between SES and enrolling in a bachelor</w:t>
      </w:r>
      <w:r w:rsidR="00F573AC">
        <w:t>’s</w:t>
      </w:r>
      <w:r>
        <w:t xml:space="preserve"> degree</w:t>
      </w:r>
      <w:bookmarkEnd w:id="93"/>
      <w:bookmarkEnd w:id="94"/>
    </w:p>
    <w:p w14:paraId="322E56CC" w14:textId="7086CC84" w:rsidR="005C670F" w:rsidRDefault="005C670F" w:rsidP="00EE6C69">
      <w:pPr>
        <w:pStyle w:val="Text"/>
      </w:pPr>
      <w:r>
        <w:t>To examine whether the SES of the school attended mediates the association between family SES and the likelihood of enrolling in a bachelor</w:t>
      </w:r>
      <w:r w:rsidR="00F573AC">
        <w:t>’s</w:t>
      </w:r>
      <w:r>
        <w:t xml:space="preserve"> degree, I construct logistic regression models and present the results in </w:t>
      </w:r>
      <w:r w:rsidR="004F4004">
        <w:t>t</w:t>
      </w:r>
      <w:r>
        <w:t xml:space="preserve">able </w:t>
      </w:r>
      <w:r w:rsidR="00061C61">
        <w:t>8</w:t>
      </w:r>
      <w:r>
        <w:t>. The results for Model 1 show that</w:t>
      </w:r>
      <w:r w:rsidR="004F4004">
        <w:t>,</w:t>
      </w:r>
      <w:r>
        <w:t xml:space="preserve"> as student SES quartile declines, the likelihood of enrolling in a bachelor</w:t>
      </w:r>
      <w:r w:rsidR="004F4004">
        <w:t>’s</w:t>
      </w:r>
      <w:r>
        <w:t xml:space="preserve"> degree declines, net of PISA score quartile and sex. In the second model, student SES is replaced by school SES and school sector is also included. The results show that students attending low</w:t>
      </w:r>
      <w:r w:rsidR="004F4004">
        <w:t>-</w:t>
      </w:r>
      <w:r>
        <w:t>SES schools were one-third as likely as their peers attending high</w:t>
      </w:r>
      <w:r w:rsidR="004F4004">
        <w:t>-</w:t>
      </w:r>
      <w:r>
        <w:t>SES schools to enrol at university, after controlling for level of academic achievement at age 15</w:t>
      </w:r>
      <w:r w:rsidR="004F4004">
        <w:t xml:space="preserve"> years</w:t>
      </w:r>
      <w:r>
        <w:t>, school sector and sex. In the third model, school SES is replaced by the student SES*school SES composite variable. The reference category is high</w:t>
      </w:r>
      <w:r w:rsidR="004F4004">
        <w:t>-</w:t>
      </w:r>
      <w:r>
        <w:t>SES students attending high</w:t>
      </w:r>
      <w:r w:rsidR="004F4004">
        <w:t>-</w:t>
      </w:r>
      <w:r>
        <w:t>SES schools. Low</w:t>
      </w:r>
      <w:r w:rsidR="009738A2">
        <w:t>-</w:t>
      </w:r>
      <w:r>
        <w:t>SES students attending low</w:t>
      </w:r>
      <w:r w:rsidR="009738A2">
        <w:t>-</w:t>
      </w:r>
      <w:r>
        <w:t>SES schools were only one-fifth as likely as high</w:t>
      </w:r>
      <w:r w:rsidR="009738A2">
        <w:t>-</w:t>
      </w:r>
      <w:r>
        <w:t>SES students attending high</w:t>
      </w:r>
      <w:r w:rsidR="009738A2">
        <w:t>-</w:t>
      </w:r>
      <w:r>
        <w:t>SES schools to enrol at university, net of PISA quartile, school sector and sex. High</w:t>
      </w:r>
      <w:r w:rsidR="009738A2">
        <w:t>-</w:t>
      </w:r>
      <w:r>
        <w:t>SES students attending low</w:t>
      </w:r>
      <w:r w:rsidR="009738A2">
        <w:t>-</w:t>
      </w:r>
      <w:r>
        <w:t>SES schools were only half as likely as high</w:t>
      </w:r>
      <w:r w:rsidR="009738A2">
        <w:t>-</w:t>
      </w:r>
      <w:r>
        <w:t>SES students attending high</w:t>
      </w:r>
      <w:r w:rsidR="00EE6190">
        <w:t>-</w:t>
      </w:r>
      <w:r>
        <w:t>SES schools to start a bachelor</w:t>
      </w:r>
      <w:r w:rsidR="00EE6190">
        <w:t>’s</w:t>
      </w:r>
      <w:r>
        <w:t xml:space="preserve"> degree, net of PISA quartile, school sector and sex. In other words, the likelihood of students with similar levels of academic achievement at age 15 </w:t>
      </w:r>
      <w:r w:rsidR="00EE6190">
        <w:t>years</w:t>
      </w:r>
      <w:r w:rsidR="00EB7310">
        <w:t xml:space="preserve"> </w:t>
      </w:r>
      <w:r>
        <w:t>attending university was dependent upon both their SES and that of their school peers.</w:t>
      </w:r>
    </w:p>
    <w:p w14:paraId="36C4A3CE" w14:textId="35DC3146" w:rsidR="005C670F" w:rsidRPr="0025630C" w:rsidRDefault="005C670F" w:rsidP="005E1786">
      <w:pPr>
        <w:pStyle w:val="tabletitle0"/>
        <w:ind w:right="-143"/>
      </w:pPr>
      <w:bookmarkStart w:id="95" w:name="_Toc19001665"/>
      <w:r w:rsidRPr="0025630C">
        <w:t xml:space="preserve">Table </w:t>
      </w:r>
      <w:r w:rsidR="000E2026">
        <w:t>8</w:t>
      </w:r>
      <w:r w:rsidR="00D12E2D">
        <w:tab/>
      </w:r>
      <w:r w:rsidR="00284783">
        <w:t>L</w:t>
      </w:r>
      <w:r w:rsidRPr="0025630C">
        <w:t>ikelihood of enrolling in a bachelor</w:t>
      </w:r>
      <w:r w:rsidR="00D44A1F">
        <w:t>’s</w:t>
      </w:r>
      <w:r w:rsidRPr="0025630C">
        <w:t xml:space="preserve"> degree according to student SES and school SES</w:t>
      </w:r>
      <w:bookmarkEnd w:id="95"/>
      <w:r w:rsidRPr="0025630C">
        <w:t xml:space="preserve"> </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8"/>
        <w:gridCol w:w="521"/>
        <w:gridCol w:w="613"/>
        <w:gridCol w:w="848"/>
        <w:gridCol w:w="244"/>
        <w:gridCol w:w="889"/>
        <w:gridCol w:w="862"/>
        <w:gridCol w:w="117"/>
        <w:gridCol w:w="1002"/>
        <w:gridCol w:w="94"/>
        <w:gridCol w:w="98"/>
        <w:gridCol w:w="718"/>
        <w:gridCol w:w="27"/>
        <w:gridCol w:w="56"/>
      </w:tblGrid>
      <w:tr w:rsidR="00947197" w:rsidRPr="00947197" w14:paraId="50452189" w14:textId="77777777" w:rsidTr="00D2715F">
        <w:trPr>
          <w:trHeight w:val="300"/>
          <w:tblHeader/>
        </w:trPr>
        <w:tc>
          <w:tcPr>
            <w:tcW w:w="1165" w:type="pct"/>
            <w:tcBorders>
              <w:top w:val="single" w:sz="4" w:space="0" w:color="auto"/>
              <w:bottom w:val="nil"/>
            </w:tcBorders>
            <w:noWrap/>
          </w:tcPr>
          <w:p w14:paraId="30CCEB8E" w14:textId="77777777" w:rsidR="005C670F" w:rsidRPr="00947197" w:rsidRDefault="005C670F" w:rsidP="00947197">
            <w:pPr>
              <w:pStyle w:val="Tabletext"/>
              <w:rPr>
                <w:b/>
                <w:lang w:eastAsia="en-AU"/>
              </w:rPr>
            </w:pPr>
          </w:p>
        </w:tc>
        <w:tc>
          <w:tcPr>
            <w:tcW w:w="714" w:type="pct"/>
            <w:gridSpan w:val="2"/>
            <w:tcBorders>
              <w:top w:val="single" w:sz="4" w:space="0" w:color="auto"/>
              <w:bottom w:val="nil"/>
            </w:tcBorders>
            <w:noWrap/>
          </w:tcPr>
          <w:p w14:paraId="407578A2" w14:textId="77777777" w:rsidR="005C670F" w:rsidRPr="00947197" w:rsidRDefault="005C670F" w:rsidP="00947197">
            <w:pPr>
              <w:pStyle w:val="Tabletext"/>
              <w:rPr>
                <w:b/>
                <w:color w:val="000000"/>
                <w:lang w:eastAsia="en-AU"/>
              </w:rPr>
            </w:pPr>
            <w:r w:rsidRPr="00947197">
              <w:rPr>
                <w:b/>
                <w:color w:val="000000"/>
                <w:lang w:eastAsia="en-AU"/>
              </w:rPr>
              <w:t>Model 1</w:t>
            </w:r>
          </w:p>
        </w:tc>
        <w:tc>
          <w:tcPr>
            <w:tcW w:w="534" w:type="pct"/>
            <w:tcBorders>
              <w:top w:val="single" w:sz="4" w:space="0" w:color="auto"/>
              <w:bottom w:val="nil"/>
            </w:tcBorders>
          </w:tcPr>
          <w:p w14:paraId="75A1B4B7" w14:textId="77777777" w:rsidR="005C670F" w:rsidRPr="00947197" w:rsidRDefault="005C670F" w:rsidP="00947197">
            <w:pPr>
              <w:pStyle w:val="Tabletext"/>
              <w:rPr>
                <w:b/>
                <w:color w:val="000000"/>
                <w:lang w:eastAsia="en-AU"/>
              </w:rPr>
            </w:pPr>
          </w:p>
        </w:tc>
        <w:tc>
          <w:tcPr>
            <w:tcW w:w="714" w:type="pct"/>
            <w:gridSpan w:val="2"/>
            <w:tcBorders>
              <w:top w:val="single" w:sz="4" w:space="0" w:color="auto"/>
              <w:bottom w:val="nil"/>
            </w:tcBorders>
          </w:tcPr>
          <w:p w14:paraId="579ED6D3" w14:textId="77777777" w:rsidR="005C670F" w:rsidRPr="00947197" w:rsidRDefault="005C670F" w:rsidP="00947197">
            <w:pPr>
              <w:pStyle w:val="Tabletext"/>
              <w:rPr>
                <w:b/>
                <w:color w:val="000000"/>
                <w:lang w:eastAsia="en-AU"/>
              </w:rPr>
            </w:pPr>
            <w:r w:rsidRPr="00947197">
              <w:rPr>
                <w:b/>
                <w:color w:val="000000"/>
                <w:lang w:eastAsia="en-AU"/>
              </w:rPr>
              <w:t>Model 2</w:t>
            </w:r>
          </w:p>
        </w:tc>
        <w:tc>
          <w:tcPr>
            <w:tcW w:w="543" w:type="pct"/>
            <w:tcBorders>
              <w:top w:val="single" w:sz="4" w:space="0" w:color="auto"/>
              <w:bottom w:val="nil"/>
            </w:tcBorders>
          </w:tcPr>
          <w:p w14:paraId="03A450B8" w14:textId="77777777" w:rsidR="005C670F" w:rsidRPr="00947197" w:rsidRDefault="005C670F" w:rsidP="00947197">
            <w:pPr>
              <w:pStyle w:val="Tabletext"/>
              <w:rPr>
                <w:b/>
                <w:color w:val="000000"/>
                <w:lang w:eastAsia="en-AU"/>
              </w:rPr>
            </w:pPr>
          </w:p>
        </w:tc>
        <w:tc>
          <w:tcPr>
            <w:tcW w:w="1330" w:type="pct"/>
            <w:gridSpan w:val="7"/>
            <w:tcBorders>
              <w:top w:val="single" w:sz="4" w:space="0" w:color="auto"/>
              <w:bottom w:val="nil"/>
            </w:tcBorders>
          </w:tcPr>
          <w:p w14:paraId="51B9642E" w14:textId="77777777" w:rsidR="005C670F" w:rsidRPr="00947197" w:rsidRDefault="005C670F" w:rsidP="00947197">
            <w:pPr>
              <w:pStyle w:val="Tabletext"/>
              <w:rPr>
                <w:b/>
                <w:color w:val="000000"/>
                <w:lang w:eastAsia="en-AU"/>
              </w:rPr>
            </w:pPr>
            <w:r w:rsidRPr="00947197">
              <w:rPr>
                <w:b/>
                <w:color w:val="000000"/>
                <w:lang w:eastAsia="en-AU"/>
              </w:rPr>
              <w:t>Model 3</w:t>
            </w:r>
          </w:p>
        </w:tc>
      </w:tr>
      <w:tr w:rsidR="00947197" w:rsidRPr="00947197" w14:paraId="1C47C273" w14:textId="77777777" w:rsidTr="00D2715F">
        <w:trPr>
          <w:trHeight w:val="300"/>
          <w:tblHeader/>
        </w:trPr>
        <w:tc>
          <w:tcPr>
            <w:tcW w:w="1165" w:type="pct"/>
            <w:tcBorders>
              <w:top w:val="nil"/>
              <w:bottom w:val="single" w:sz="4" w:space="0" w:color="auto"/>
            </w:tcBorders>
            <w:noWrap/>
            <w:hideMark/>
          </w:tcPr>
          <w:p w14:paraId="07246308" w14:textId="77777777" w:rsidR="005C670F" w:rsidRPr="00947197" w:rsidRDefault="005C670F" w:rsidP="00947197">
            <w:pPr>
              <w:pStyle w:val="Tabletext"/>
              <w:rPr>
                <w:b/>
                <w:lang w:eastAsia="en-AU"/>
              </w:rPr>
            </w:pPr>
            <w:r w:rsidRPr="00947197">
              <w:rPr>
                <w:b/>
                <w:color w:val="000000"/>
                <w:lang w:eastAsia="en-AU"/>
              </w:rPr>
              <w:t>Student SES Quartile</w:t>
            </w:r>
          </w:p>
        </w:tc>
        <w:tc>
          <w:tcPr>
            <w:tcW w:w="714" w:type="pct"/>
            <w:gridSpan w:val="2"/>
            <w:tcBorders>
              <w:top w:val="nil"/>
              <w:bottom w:val="single" w:sz="4" w:space="0" w:color="auto"/>
            </w:tcBorders>
            <w:noWrap/>
            <w:hideMark/>
          </w:tcPr>
          <w:p w14:paraId="19F7F0B7" w14:textId="77777777" w:rsidR="005C670F" w:rsidRPr="00947197" w:rsidRDefault="005C670F" w:rsidP="00947197">
            <w:pPr>
              <w:pStyle w:val="Tabletext"/>
              <w:rPr>
                <w:b/>
                <w:color w:val="000000"/>
                <w:lang w:eastAsia="en-AU"/>
              </w:rPr>
            </w:pPr>
            <w:r w:rsidRPr="00947197">
              <w:rPr>
                <w:b/>
                <w:color w:val="000000"/>
                <w:lang w:eastAsia="en-AU"/>
              </w:rPr>
              <w:t>Odds ratio</w:t>
            </w:r>
          </w:p>
        </w:tc>
        <w:tc>
          <w:tcPr>
            <w:tcW w:w="534" w:type="pct"/>
            <w:tcBorders>
              <w:top w:val="nil"/>
              <w:bottom w:val="single" w:sz="4" w:space="0" w:color="auto"/>
            </w:tcBorders>
          </w:tcPr>
          <w:p w14:paraId="57DA68E8" w14:textId="77777777" w:rsidR="005C670F" w:rsidRPr="00947197" w:rsidRDefault="005C670F" w:rsidP="00947197">
            <w:pPr>
              <w:pStyle w:val="Tabletext"/>
              <w:rPr>
                <w:b/>
                <w:color w:val="000000"/>
                <w:lang w:eastAsia="en-AU"/>
              </w:rPr>
            </w:pPr>
            <w:r w:rsidRPr="00947197">
              <w:rPr>
                <w:b/>
                <w:color w:val="000000"/>
                <w:lang w:eastAsia="en-AU"/>
              </w:rPr>
              <w:t>Std. err.</w:t>
            </w:r>
          </w:p>
        </w:tc>
        <w:tc>
          <w:tcPr>
            <w:tcW w:w="714" w:type="pct"/>
            <w:gridSpan w:val="2"/>
            <w:tcBorders>
              <w:top w:val="nil"/>
              <w:bottom w:val="single" w:sz="4" w:space="0" w:color="auto"/>
            </w:tcBorders>
          </w:tcPr>
          <w:p w14:paraId="70F7709C" w14:textId="77777777" w:rsidR="005C670F" w:rsidRPr="00947197" w:rsidRDefault="005C670F" w:rsidP="00947197">
            <w:pPr>
              <w:pStyle w:val="Tabletext"/>
              <w:rPr>
                <w:b/>
                <w:color w:val="000000"/>
                <w:lang w:eastAsia="en-AU"/>
              </w:rPr>
            </w:pPr>
            <w:r w:rsidRPr="00947197">
              <w:rPr>
                <w:b/>
                <w:color w:val="000000"/>
                <w:lang w:eastAsia="en-AU"/>
              </w:rPr>
              <w:t>Odds ratio</w:t>
            </w:r>
          </w:p>
        </w:tc>
        <w:tc>
          <w:tcPr>
            <w:tcW w:w="543" w:type="pct"/>
            <w:tcBorders>
              <w:top w:val="nil"/>
              <w:bottom w:val="single" w:sz="4" w:space="0" w:color="auto"/>
            </w:tcBorders>
          </w:tcPr>
          <w:p w14:paraId="5FA7F2D4" w14:textId="77777777" w:rsidR="005C670F" w:rsidRPr="00947197" w:rsidRDefault="005C670F" w:rsidP="00947197">
            <w:pPr>
              <w:pStyle w:val="Tabletext"/>
              <w:rPr>
                <w:b/>
                <w:color w:val="000000"/>
                <w:lang w:eastAsia="en-AU"/>
              </w:rPr>
            </w:pPr>
            <w:r w:rsidRPr="00947197">
              <w:rPr>
                <w:b/>
                <w:color w:val="000000"/>
                <w:lang w:eastAsia="en-AU"/>
              </w:rPr>
              <w:t>Std. err.</w:t>
            </w:r>
          </w:p>
        </w:tc>
        <w:tc>
          <w:tcPr>
            <w:tcW w:w="705" w:type="pct"/>
            <w:gridSpan w:val="2"/>
            <w:tcBorders>
              <w:top w:val="nil"/>
              <w:bottom w:val="single" w:sz="4" w:space="0" w:color="auto"/>
            </w:tcBorders>
          </w:tcPr>
          <w:p w14:paraId="491B870E" w14:textId="77777777" w:rsidR="005C670F" w:rsidRPr="00947197" w:rsidRDefault="005C670F" w:rsidP="00947197">
            <w:pPr>
              <w:pStyle w:val="Tabletext"/>
              <w:rPr>
                <w:b/>
                <w:color w:val="000000"/>
                <w:lang w:eastAsia="en-AU"/>
              </w:rPr>
            </w:pPr>
            <w:r w:rsidRPr="00947197">
              <w:rPr>
                <w:b/>
                <w:color w:val="000000"/>
                <w:lang w:eastAsia="en-AU"/>
              </w:rPr>
              <w:t>Odds ratio</w:t>
            </w:r>
          </w:p>
        </w:tc>
        <w:tc>
          <w:tcPr>
            <w:tcW w:w="624" w:type="pct"/>
            <w:gridSpan w:val="5"/>
            <w:tcBorders>
              <w:top w:val="nil"/>
              <w:bottom w:val="single" w:sz="4" w:space="0" w:color="auto"/>
            </w:tcBorders>
          </w:tcPr>
          <w:p w14:paraId="40190E56" w14:textId="77777777" w:rsidR="005C670F" w:rsidRPr="00947197" w:rsidRDefault="005C670F" w:rsidP="00947197">
            <w:pPr>
              <w:pStyle w:val="Tabletext"/>
              <w:rPr>
                <w:b/>
                <w:color w:val="000000"/>
                <w:lang w:eastAsia="en-AU"/>
              </w:rPr>
            </w:pPr>
            <w:r w:rsidRPr="00947197">
              <w:rPr>
                <w:b/>
                <w:color w:val="000000"/>
                <w:lang w:eastAsia="en-AU"/>
              </w:rPr>
              <w:t>Std. err.</w:t>
            </w:r>
          </w:p>
        </w:tc>
      </w:tr>
      <w:tr w:rsidR="00947197" w:rsidRPr="00947197" w14:paraId="18964C22" w14:textId="77777777" w:rsidTr="00D2715F">
        <w:trPr>
          <w:gridAfter w:val="2"/>
          <w:wAfter w:w="52" w:type="pct"/>
          <w:trHeight w:val="300"/>
        </w:trPr>
        <w:tc>
          <w:tcPr>
            <w:tcW w:w="1165" w:type="pct"/>
            <w:noWrap/>
            <w:hideMark/>
          </w:tcPr>
          <w:p w14:paraId="07FB7B04" w14:textId="77777777" w:rsidR="005C670F" w:rsidRPr="00947197" w:rsidRDefault="005C670F" w:rsidP="00947197">
            <w:pPr>
              <w:pStyle w:val="Tabletext"/>
              <w:rPr>
                <w:color w:val="000000"/>
                <w:lang w:eastAsia="en-AU"/>
              </w:rPr>
            </w:pPr>
            <w:r w:rsidRPr="00947197">
              <w:rPr>
                <w:color w:val="000000"/>
                <w:lang w:eastAsia="en-AU"/>
              </w:rPr>
              <w:t>Quartile 4 (ref.)</w:t>
            </w:r>
          </w:p>
        </w:tc>
        <w:tc>
          <w:tcPr>
            <w:tcW w:w="328" w:type="pct"/>
            <w:noWrap/>
            <w:hideMark/>
          </w:tcPr>
          <w:p w14:paraId="55AAF5A2" w14:textId="77777777" w:rsidR="005C670F" w:rsidRPr="00947197" w:rsidRDefault="005C670F" w:rsidP="00947197">
            <w:pPr>
              <w:pStyle w:val="Tabletext"/>
              <w:rPr>
                <w:color w:val="000000"/>
                <w:lang w:eastAsia="en-AU"/>
              </w:rPr>
            </w:pPr>
          </w:p>
        </w:tc>
        <w:tc>
          <w:tcPr>
            <w:tcW w:w="386" w:type="pct"/>
            <w:noWrap/>
            <w:hideMark/>
          </w:tcPr>
          <w:p w14:paraId="1A9E3600" w14:textId="77777777" w:rsidR="005C670F" w:rsidRPr="00947197" w:rsidRDefault="005C670F" w:rsidP="00947197">
            <w:pPr>
              <w:pStyle w:val="Tabletext"/>
              <w:rPr>
                <w:lang w:eastAsia="en-AU"/>
              </w:rPr>
            </w:pPr>
          </w:p>
        </w:tc>
        <w:tc>
          <w:tcPr>
            <w:tcW w:w="688" w:type="pct"/>
            <w:gridSpan w:val="2"/>
          </w:tcPr>
          <w:p w14:paraId="428A51ED" w14:textId="77777777" w:rsidR="005C670F" w:rsidRPr="00947197" w:rsidRDefault="005C670F" w:rsidP="00947197">
            <w:pPr>
              <w:pStyle w:val="Tabletext"/>
              <w:rPr>
                <w:lang w:eastAsia="en-AU"/>
              </w:rPr>
            </w:pPr>
          </w:p>
        </w:tc>
        <w:tc>
          <w:tcPr>
            <w:tcW w:w="560" w:type="pct"/>
          </w:tcPr>
          <w:p w14:paraId="4F75C637" w14:textId="77777777" w:rsidR="005C670F" w:rsidRPr="00947197" w:rsidRDefault="005C670F" w:rsidP="00947197">
            <w:pPr>
              <w:pStyle w:val="Tabletext"/>
              <w:rPr>
                <w:lang w:eastAsia="en-AU"/>
              </w:rPr>
            </w:pPr>
          </w:p>
        </w:tc>
        <w:tc>
          <w:tcPr>
            <w:tcW w:w="543" w:type="pct"/>
          </w:tcPr>
          <w:p w14:paraId="74421301" w14:textId="77777777" w:rsidR="005C670F" w:rsidRPr="00947197" w:rsidRDefault="005C670F" w:rsidP="00947197">
            <w:pPr>
              <w:pStyle w:val="Tabletext"/>
              <w:rPr>
                <w:lang w:eastAsia="en-AU"/>
              </w:rPr>
            </w:pPr>
          </w:p>
        </w:tc>
        <w:tc>
          <w:tcPr>
            <w:tcW w:w="826" w:type="pct"/>
            <w:gridSpan w:val="4"/>
          </w:tcPr>
          <w:p w14:paraId="25E00434" w14:textId="77777777" w:rsidR="005C670F" w:rsidRPr="00947197" w:rsidRDefault="005C670F" w:rsidP="00947197">
            <w:pPr>
              <w:pStyle w:val="Tabletext"/>
              <w:rPr>
                <w:lang w:eastAsia="en-AU"/>
              </w:rPr>
            </w:pPr>
          </w:p>
        </w:tc>
        <w:tc>
          <w:tcPr>
            <w:tcW w:w="452" w:type="pct"/>
          </w:tcPr>
          <w:p w14:paraId="1E0DF5AA" w14:textId="77777777" w:rsidR="005C670F" w:rsidRPr="00947197" w:rsidRDefault="005C670F" w:rsidP="00947197">
            <w:pPr>
              <w:pStyle w:val="Tabletext"/>
              <w:rPr>
                <w:lang w:eastAsia="en-AU"/>
              </w:rPr>
            </w:pPr>
          </w:p>
        </w:tc>
      </w:tr>
      <w:tr w:rsidR="00947197" w:rsidRPr="00947197" w14:paraId="596D0B62" w14:textId="77777777" w:rsidTr="00D2715F">
        <w:trPr>
          <w:trHeight w:val="300"/>
        </w:trPr>
        <w:tc>
          <w:tcPr>
            <w:tcW w:w="1165" w:type="pct"/>
            <w:noWrap/>
            <w:hideMark/>
          </w:tcPr>
          <w:p w14:paraId="58F371DE" w14:textId="77777777" w:rsidR="005C670F" w:rsidRPr="00947197" w:rsidRDefault="005C670F" w:rsidP="00F37D0D">
            <w:pPr>
              <w:pStyle w:val="Tabletext"/>
              <w:rPr>
                <w:color w:val="000000"/>
                <w:lang w:eastAsia="en-AU"/>
              </w:rPr>
            </w:pPr>
            <w:r w:rsidRPr="00947197">
              <w:rPr>
                <w:color w:val="000000"/>
                <w:lang w:eastAsia="en-AU"/>
              </w:rPr>
              <w:t>Quartile 1</w:t>
            </w:r>
          </w:p>
        </w:tc>
        <w:tc>
          <w:tcPr>
            <w:tcW w:w="714" w:type="pct"/>
            <w:gridSpan w:val="2"/>
            <w:noWrap/>
            <w:hideMark/>
          </w:tcPr>
          <w:p w14:paraId="0E64305C" w14:textId="77777777" w:rsidR="005C670F" w:rsidRPr="00947197" w:rsidRDefault="005C670F" w:rsidP="00F37D0D">
            <w:pPr>
              <w:pStyle w:val="Tabletext"/>
              <w:rPr>
                <w:color w:val="000000"/>
                <w:lang w:eastAsia="en-AU"/>
              </w:rPr>
            </w:pPr>
            <w:r w:rsidRPr="00947197">
              <w:rPr>
                <w:color w:val="000000"/>
                <w:lang w:eastAsia="en-AU"/>
              </w:rPr>
              <w:t>0.33***</w:t>
            </w:r>
          </w:p>
        </w:tc>
        <w:tc>
          <w:tcPr>
            <w:tcW w:w="534" w:type="pct"/>
          </w:tcPr>
          <w:p w14:paraId="34A003AD" w14:textId="77777777" w:rsidR="005C670F" w:rsidRPr="00947197" w:rsidRDefault="005C670F" w:rsidP="00F37D0D">
            <w:pPr>
              <w:pStyle w:val="Tabletext"/>
              <w:rPr>
                <w:color w:val="000000"/>
                <w:lang w:eastAsia="en-AU"/>
              </w:rPr>
            </w:pPr>
            <w:r w:rsidRPr="00947197">
              <w:rPr>
                <w:color w:val="000000"/>
                <w:lang w:eastAsia="en-AU"/>
              </w:rPr>
              <w:t>0.03</w:t>
            </w:r>
          </w:p>
        </w:tc>
        <w:tc>
          <w:tcPr>
            <w:tcW w:w="714" w:type="pct"/>
            <w:gridSpan w:val="2"/>
          </w:tcPr>
          <w:p w14:paraId="79B9DDE9" w14:textId="77777777" w:rsidR="005C670F" w:rsidRPr="00947197" w:rsidRDefault="005C670F" w:rsidP="00F37D0D">
            <w:pPr>
              <w:pStyle w:val="Tabletext"/>
              <w:rPr>
                <w:color w:val="000000"/>
                <w:lang w:eastAsia="en-AU"/>
              </w:rPr>
            </w:pPr>
          </w:p>
        </w:tc>
        <w:tc>
          <w:tcPr>
            <w:tcW w:w="543" w:type="pct"/>
          </w:tcPr>
          <w:p w14:paraId="6A831A38" w14:textId="77777777" w:rsidR="005C670F" w:rsidRPr="00947197" w:rsidRDefault="005C670F" w:rsidP="00F37D0D">
            <w:pPr>
              <w:pStyle w:val="Tabletext"/>
              <w:rPr>
                <w:color w:val="000000"/>
                <w:lang w:eastAsia="en-AU"/>
              </w:rPr>
            </w:pPr>
          </w:p>
        </w:tc>
        <w:tc>
          <w:tcPr>
            <w:tcW w:w="705" w:type="pct"/>
            <w:gridSpan w:val="2"/>
          </w:tcPr>
          <w:p w14:paraId="4291C9CF" w14:textId="77777777" w:rsidR="005C670F" w:rsidRPr="00947197" w:rsidRDefault="005C670F" w:rsidP="00F37D0D">
            <w:pPr>
              <w:pStyle w:val="Tabletext"/>
              <w:rPr>
                <w:color w:val="000000"/>
                <w:lang w:eastAsia="en-AU"/>
              </w:rPr>
            </w:pPr>
          </w:p>
        </w:tc>
        <w:tc>
          <w:tcPr>
            <w:tcW w:w="624" w:type="pct"/>
            <w:gridSpan w:val="5"/>
          </w:tcPr>
          <w:p w14:paraId="6DF7E084" w14:textId="77777777" w:rsidR="005C670F" w:rsidRPr="00947197" w:rsidRDefault="005C670F" w:rsidP="00F37D0D">
            <w:pPr>
              <w:pStyle w:val="Tabletext"/>
              <w:rPr>
                <w:color w:val="000000"/>
                <w:lang w:eastAsia="en-AU"/>
              </w:rPr>
            </w:pPr>
          </w:p>
        </w:tc>
      </w:tr>
      <w:tr w:rsidR="00947197" w:rsidRPr="00947197" w14:paraId="59D297A8" w14:textId="77777777" w:rsidTr="00D2715F">
        <w:trPr>
          <w:trHeight w:val="300"/>
        </w:trPr>
        <w:tc>
          <w:tcPr>
            <w:tcW w:w="1165" w:type="pct"/>
            <w:noWrap/>
            <w:hideMark/>
          </w:tcPr>
          <w:p w14:paraId="475A89F0" w14:textId="77777777" w:rsidR="005C670F" w:rsidRPr="00947197" w:rsidRDefault="005C670F" w:rsidP="00F37D0D">
            <w:pPr>
              <w:pStyle w:val="Tabletext"/>
              <w:rPr>
                <w:color w:val="000000"/>
                <w:lang w:eastAsia="en-AU"/>
              </w:rPr>
            </w:pPr>
            <w:r w:rsidRPr="00947197">
              <w:rPr>
                <w:color w:val="000000"/>
                <w:lang w:eastAsia="en-AU"/>
              </w:rPr>
              <w:t>Quartile 2</w:t>
            </w:r>
          </w:p>
        </w:tc>
        <w:tc>
          <w:tcPr>
            <w:tcW w:w="714" w:type="pct"/>
            <w:gridSpan w:val="2"/>
            <w:noWrap/>
            <w:hideMark/>
          </w:tcPr>
          <w:p w14:paraId="776AA622" w14:textId="77777777" w:rsidR="005C670F" w:rsidRPr="00947197" w:rsidRDefault="005C670F" w:rsidP="00F37D0D">
            <w:pPr>
              <w:pStyle w:val="Tabletext"/>
              <w:rPr>
                <w:color w:val="000000"/>
                <w:lang w:eastAsia="en-AU"/>
              </w:rPr>
            </w:pPr>
            <w:r w:rsidRPr="00947197">
              <w:rPr>
                <w:color w:val="000000"/>
                <w:lang w:eastAsia="en-AU"/>
              </w:rPr>
              <w:t>0.38***</w:t>
            </w:r>
          </w:p>
        </w:tc>
        <w:tc>
          <w:tcPr>
            <w:tcW w:w="534" w:type="pct"/>
          </w:tcPr>
          <w:p w14:paraId="51746069" w14:textId="77777777" w:rsidR="005C670F" w:rsidRPr="00947197" w:rsidRDefault="005C670F" w:rsidP="00F37D0D">
            <w:pPr>
              <w:pStyle w:val="Tabletext"/>
              <w:rPr>
                <w:color w:val="000000"/>
                <w:lang w:eastAsia="en-AU"/>
              </w:rPr>
            </w:pPr>
            <w:r w:rsidRPr="00947197">
              <w:rPr>
                <w:color w:val="000000"/>
                <w:lang w:eastAsia="en-AU"/>
              </w:rPr>
              <w:t>0.03</w:t>
            </w:r>
          </w:p>
        </w:tc>
        <w:tc>
          <w:tcPr>
            <w:tcW w:w="714" w:type="pct"/>
            <w:gridSpan w:val="2"/>
          </w:tcPr>
          <w:p w14:paraId="78A371EF" w14:textId="77777777" w:rsidR="005C670F" w:rsidRPr="00947197" w:rsidRDefault="005C670F" w:rsidP="00F37D0D">
            <w:pPr>
              <w:pStyle w:val="Tabletext"/>
              <w:rPr>
                <w:color w:val="000000"/>
                <w:lang w:eastAsia="en-AU"/>
              </w:rPr>
            </w:pPr>
          </w:p>
        </w:tc>
        <w:tc>
          <w:tcPr>
            <w:tcW w:w="543" w:type="pct"/>
          </w:tcPr>
          <w:p w14:paraId="3156DD34" w14:textId="77777777" w:rsidR="005C670F" w:rsidRPr="00947197" w:rsidRDefault="005C670F" w:rsidP="00F37D0D">
            <w:pPr>
              <w:pStyle w:val="Tabletext"/>
              <w:rPr>
                <w:color w:val="000000"/>
                <w:lang w:eastAsia="en-AU"/>
              </w:rPr>
            </w:pPr>
          </w:p>
        </w:tc>
        <w:tc>
          <w:tcPr>
            <w:tcW w:w="705" w:type="pct"/>
            <w:gridSpan w:val="2"/>
          </w:tcPr>
          <w:p w14:paraId="6C70E5A3" w14:textId="77777777" w:rsidR="005C670F" w:rsidRPr="00947197" w:rsidRDefault="005C670F" w:rsidP="00F37D0D">
            <w:pPr>
              <w:pStyle w:val="Tabletext"/>
              <w:rPr>
                <w:color w:val="000000"/>
                <w:lang w:eastAsia="en-AU"/>
              </w:rPr>
            </w:pPr>
          </w:p>
        </w:tc>
        <w:tc>
          <w:tcPr>
            <w:tcW w:w="624" w:type="pct"/>
            <w:gridSpan w:val="5"/>
          </w:tcPr>
          <w:p w14:paraId="42267E93" w14:textId="77777777" w:rsidR="005C670F" w:rsidRPr="00947197" w:rsidRDefault="005C670F" w:rsidP="00F37D0D">
            <w:pPr>
              <w:pStyle w:val="Tabletext"/>
              <w:rPr>
                <w:color w:val="000000"/>
                <w:lang w:eastAsia="en-AU"/>
              </w:rPr>
            </w:pPr>
          </w:p>
        </w:tc>
      </w:tr>
      <w:tr w:rsidR="00947197" w:rsidRPr="00947197" w14:paraId="4C1BCF60" w14:textId="77777777" w:rsidTr="00D2715F">
        <w:trPr>
          <w:trHeight w:val="300"/>
        </w:trPr>
        <w:tc>
          <w:tcPr>
            <w:tcW w:w="1165" w:type="pct"/>
            <w:noWrap/>
            <w:hideMark/>
          </w:tcPr>
          <w:p w14:paraId="7F10E217" w14:textId="77777777" w:rsidR="005C670F" w:rsidRPr="00947197" w:rsidRDefault="005C670F" w:rsidP="00947197">
            <w:pPr>
              <w:pStyle w:val="Tabletext"/>
              <w:rPr>
                <w:color w:val="000000"/>
                <w:lang w:eastAsia="en-AU"/>
              </w:rPr>
            </w:pPr>
            <w:r w:rsidRPr="00947197">
              <w:rPr>
                <w:color w:val="000000"/>
                <w:lang w:eastAsia="en-AU"/>
              </w:rPr>
              <w:t>Quartile 3</w:t>
            </w:r>
          </w:p>
        </w:tc>
        <w:tc>
          <w:tcPr>
            <w:tcW w:w="714" w:type="pct"/>
            <w:gridSpan w:val="2"/>
            <w:noWrap/>
            <w:hideMark/>
          </w:tcPr>
          <w:p w14:paraId="45BE994C" w14:textId="77777777" w:rsidR="005C670F" w:rsidRPr="00947197" w:rsidRDefault="005C670F" w:rsidP="00947197">
            <w:pPr>
              <w:pStyle w:val="Tabletext"/>
              <w:rPr>
                <w:color w:val="000000"/>
                <w:lang w:eastAsia="en-AU"/>
              </w:rPr>
            </w:pPr>
            <w:r w:rsidRPr="00947197">
              <w:rPr>
                <w:color w:val="000000"/>
                <w:lang w:eastAsia="en-AU"/>
              </w:rPr>
              <w:t>0.64***</w:t>
            </w:r>
          </w:p>
        </w:tc>
        <w:tc>
          <w:tcPr>
            <w:tcW w:w="534" w:type="pct"/>
          </w:tcPr>
          <w:p w14:paraId="3C0BC5B6" w14:textId="77777777" w:rsidR="005C670F" w:rsidRPr="00947197" w:rsidRDefault="005C670F" w:rsidP="00947197">
            <w:pPr>
              <w:pStyle w:val="Tabletext"/>
              <w:rPr>
                <w:color w:val="000000"/>
                <w:lang w:eastAsia="en-AU"/>
              </w:rPr>
            </w:pPr>
            <w:r w:rsidRPr="00947197">
              <w:rPr>
                <w:color w:val="000000"/>
                <w:lang w:eastAsia="en-AU"/>
              </w:rPr>
              <w:t>0.55</w:t>
            </w:r>
          </w:p>
        </w:tc>
        <w:tc>
          <w:tcPr>
            <w:tcW w:w="714" w:type="pct"/>
            <w:gridSpan w:val="2"/>
          </w:tcPr>
          <w:p w14:paraId="2AACAD70" w14:textId="77777777" w:rsidR="005C670F" w:rsidRPr="00947197" w:rsidRDefault="005C670F" w:rsidP="00947197">
            <w:pPr>
              <w:pStyle w:val="Tabletext"/>
              <w:rPr>
                <w:color w:val="000000"/>
                <w:lang w:eastAsia="en-AU"/>
              </w:rPr>
            </w:pPr>
          </w:p>
        </w:tc>
        <w:tc>
          <w:tcPr>
            <w:tcW w:w="543" w:type="pct"/>
          </w:tcPr>
          <w:p w14:paraId="3D865EC1" w14:textId="77777777" w:rsidR="005C670F" w:rsidRPr="00947197" w:rsidRDefault="005C670F" w:rsidP="00947197">
            <w:pPr>
              <w:pStyle w:val="Tabletext"/>
              <w:rPr>
                <w:color w:val="000000"/>
                <w:lang w:eastAsia="en-AU"/>
              </w:rPr>
            </w:pPr>
          </w:p>
        </w:tc>
        <w:tc>
          <w:tcPr>
            <w:tcW w:w="705" w:type="pct"/>
            <w:gridSpan w:val="2"/>
          </w:tcPr>
          <w:p w14:paraId="66EDED60" w14:textId="77777777" w:rsidR="005C670F" w:rsidRPr="00947197" w:rsidRDefault="005C670F" w:rsidP="00947197">
            <w:pPr>
              <w:pStyle w:val="Tabletext"/>
              <w:rPr>
                <w:color w:val="000000"/>
                <w:lang w:eastAsia="en-AU"/>
              </w:rPr>
            </w:pPr>
          </w:p>
        </w:tc>
        <w:tc>
          <w:tcPr>
            <w:tcW w:w="624" w:type="pct"/>
            <w:gridSpan w:val="5"/>
          </w:tcPr>
          <w:p w14:paraId="50B85EDB" w14:textId="77777777" w:rsidR="005C670F" w:rsidRPr="00947197" w:rsidRDefault="005C670F" w:rsidP="00947197">
            <w:pPr>
              <w:pStyle w:val="Tabletext"/>
              <w:rPr>
                <w:color w:val="000000"/>
                <w:lang w:eastAsia="en-AU"/>
              </w:rPr>
            </w:pPr>
          </w:p>
        </w:tc>
      </w:tr>
      <w:tr w:rsidR="00947197" w:rsidRPr="00947197" w14:paraId="55BB92A5" w14:textId="77777777" w:rsidTr="00D2715F">
        <w:trPr>
          <w:gridAfter w:val="2"/>
          <w:wAfter w:w="52" w:type="pct"/>
          <w:trHeight w:val="300"/>
        </w:trPr>
        <w:tc>
          <w:tcPr>
            <w:tcW w:w="1165" w:type="pct"/>
            <w:noWrap/>
          </w:tcPr>
          <w:p w14:paraId="61EF6B37" w14:textId="77777777" w:rsidR="005C670F" w:rsidRPr="00947197" w:rsidRDefault="005C670F" w:rsidP="00F37D0D">
            <w:pPr>
              <w:pStyle w:val="Tabletext"/>
              <w:rPr>
                <w:b/>
                <w:color w:val="000000"/>
                <w:lang w:eastAsia="en-AU"/>
              </w:rPr>
            </w:pPr>
            <w:r w:rsidRPr="00947197">
              <w:rPr>
                <w:b/>
                <w:color w:val="000000"/>
                <w:lang w:eastAsia="en-AU"/>
              </w:rPr>
              <w:t>School SES</w:t>
            </w:r>
          </w:p>
        </w:tc>
        <w:tc>
          <w:tcPr>
            <w:tcW w:w="328" w:type="pct"/>
            <w:noWrap/>
          </w:tcPr>
          <w:p w14:paraId="38F118EA" w14:textId="77777777" w:rsidR="005C670F" w:rsidRPr="00947197" w:rsidRDefault="005C670F" w:rsidP="00F37D0D">
            <w:pPr>
              <w:pStyle w:val="Tabletext"/>
              <w:rPr>
                <w:color w:val="000000"/>
                <w:lang w:eastAsia="en-AU"/>
              </w:rPr>
            </w:pPr>
          </w:p>
        </w:tc>
        <w:tc>
          <w:tcPr>
            <w:tcW w:w="386" w:type="pct"/>
            <w:noWrap/>
          </w:tcPr>
          <w:p w14:paraId="14558D1F" w14:textId="77777777" w:rsidR="005C670F" w:rsidRPr="00947197" w:rsidRDefault="005C670F" w:rsidP="00F37D0D">
            <w:pPr>
              <w:pStyle w:val="Tabletext"/>
              <w:rPr>
                <w:lang w:eastAsia="en-AU"/>
              </w:rPr>
            </w:pPr>
          </w:p>
        </w:tc>
        <w:tc>
          <w:tcPr>
            <w:tcW w:w="688" w:type="pct"/>
            <w:gridSpan w:val="2"/>
          </w:tcPr>
          <w:p w14:paraId="31139602" w14:textId="77777777" w:rsidR="005C670F" w:rsidRPr="00947197" w:rsidRDefault="005C670F" w:rsidP="00F37D0D">
            <w:pPr>
              <w:pStyle w:val="Tabletext"/>
              <w:rPr>
                <w:lang w:eastAsia="en-AU"/>
              </w:rPr>
            </w:pPr>
          </w:p>
        </w:tc>
        <w:tc>
          <w:tcPr>
            <w:tcW w:w="560" w:type="pct"/>
          </w:tcPr>
          <w:p w14:paraId="576EA9F6" w14:textId="77777777" w:rsidR="005C670F" w:rsidRPr="00947197" w:rsidRDefault="005C670F" w:rsidP="00F37D0D">
            <w:pPr>
              <w:pStyle w:val="Tabletext"/>
              <w:rPr>
                <w:lang w:eastAsia="en-AU"/>
              </w:rPr>
            </w:pPr>
          </w:p>
        </w:tc>
        <w:tc>
          <w:tcPr>
            <w:tcW w:w="543" w:type="pct"/>
          </w:tcPr>
          <w:p w14:paraId="4B7B1709" w14:textId="77777777" w:rsidR="005C670F" w:rsidRPr="00947197" w:rsidRDefault="005C670F" w:rsidP="00F37D0D">
            <w:pPr>
              <w:pStyle w:val="Tabletext"/>
              <w:rPr>
                <w:lang w:eastAsia="en-AU"/>
              </w:rPr>
            </w:pPr>
          </w:p>
        </w:tc>
        <w:tc>
          <w:tcPr>
            <w:tcW w:w="826" w:type="pct"/>
            <w:gridSpan w:val="4"/>
          </w:tcPr>
          <w:p w14:paraId="4C2F97D9" w14:textId="77777777" w:rsidR="005C670F" w:rsidRPr="00947197" w:rsidRDefault="005C670F" w:rsidP="00F37D0D">
            <w:pPr>
              <w:pStyle w:val="Tabletext"/>
              <w:rPr>
                <w:lang w:eastAsia="en-AU"/>
              </w:rPr>
            </w:pPr>
          </w:p>
        </w:tc>
        <w:tc>
          <w:tcPr>
            <w:tcW w:w="452" w:type="pct"/>
          </w:tcPr>
          <w:p w14:paraId="58E14908" w14:textId="77777777" w:rsidR="005C670F" w:rsidRPr="00947197" w:rsidRDefault="005C670F" w:rsidP="00F37D0D">
            <w:pPr>
              <w:pStyle w:val="Tabletext"/>
              <w:rPr>
                <w:lang w:eastAsia="en-AU"/>
              </w:rPr>
            </w:pPr>
          </w:p>
        </w:tc>
      </w:tr>
      <w:tr w:rsidR="00947197" w:rsidRPr="00947197" w14:paraId="1F46E689" w14:textId="77777777" w:rsidTr="00D2715F">
        <w:trPr>
          <w:gridAfter w:val="2"/>
          <w:wAfter w:w="52" w:type="pct"/>
          <w:trHeight w:val="300"/>
        </w:trPr>
        <w:tc>
          <w:tcPr>
            <w:tcW w:w="1165" w:type="pct"/>
            <w:noWrap/>
          </w:tcPr>
          <w:p w14:paraId="17F59C82" w14:textId="77777777" w:rsidR="005C670F" w:rsidRPr="00947197" w:rsidRDefault="005C670F" w:rsidP="00947197">
            <w:pPr>
              <w:pStyle w:val="Tabletext"/>
              <w:rPr>
                <w:color w:val="000000"/>
                <w:lang w:eastAsia="en-AU"/>
              </w:rPr>
            </w:pPr>
            <w:r w:rsidRPr="00947197">
              <w:rPr>
                <w:color w:val="000000"/>
                <w:lang w:eastAsia="en-AU"/>
              </w:rPr>
              <w:t>Quartile 4 (ref.)</w:t>
            </w:r>
          </w:p>
        </w:tc>
        <w:tc>
          <w:tcPr>
            <w:tcW w:w="328" w:type="pct"/>
            <w:noWrap/>
          </w:tcPr>
          <w:p w14:paraId="4481F587" w14:textId="77777777" w:rsidR="005C670F" w:rsidRPr="00947197" w:rsidRDefault="005C670F" w:rsidP="00947197">
            <w:pPr>
              <w:pStyle w:val="Tabletext"/>
              <w:rPr>
                <w:color w:val="000000"/>
                <w:lang w:eastAsia="en-AU"/>
              </w:rPr>
            </w:pPr>
          </w:p>
        </w:tc>
        <w:tc>
          <w:tcPr>
            <w:tcW w:w="386" w:type="pct"/>
            <w:noWrap/>
          </w:tcPr>
          <w:p w14:paraId="48B50EC3" w14:textId="77777777" w:rsidR="005C670F" w:rsidRPr="00947197" w:rsidRDefault="005C670F" w:rsidP="00947197">
            <w:pPr>
              <w:pStyle w:val="Tabletext"/>
              <w:rPr>
                <w:lang w:eastAsia="en-AU"/>
              </w:rPr>
            </w:pPr>
          </w:p>
        </w:tc>
        <w:tc>
          <w:tcPr>
            <w:tcW w:w="688" w:type="pct"/>
            <w:gridSpan w:val="2"/>
          </w:tcPr>
          <w:p w14:paraId="65043D0F" w14:textId="77777777" w:rsidR="005C670F" w:rsidRPr="00947197" w:rsidRDefault="005C670F" w:rsidP="00947197">
            <w:pPr>
              <w:pStyle w:val="Tabletext"/>
              <w:rPr>
                <w:lang w:eastAsia="en-AU"/>
              </w:rPr>
            </w:pPr>
          </w:p>
        </w:tc>
        <w:tc>
          <w:tcPr>
            <w:tcW w:w="560" w:type="pct"/>
          </w:tcPr>
          <w:p w14:paraId="6EA749B4" w14:textId="77777777" w:rsidR="005C670F" w:rsidRPr="00947197" w:rsidRDefault="005C670F" w:rsidP="00947197">
            <w:pPr>
              <w:pStyle w:val="Tabletext"/>
              <w:rPr>
                <w:lang w:eastAsia="en-AU"/>
              </w:rPr>
            </w:pPr>
          </w:p>
        </w:tc>
        <w:tc>
          <w:tcPr>
            <w:tcW w:w="543" w:type="pct"/>
          </w:tcPr>
          <w:p w14:paraId="22C375C1" w14:textId="77777777" w:rsidR="005C670F" w:rsidRPr="00947197" w:rsidRDefault="005C670F" w:rsidP="00947197">
            <w:pPr>
              <w:pStyle w:val="Tabletext"/>
              <w:rPr>
                <w:lang w:eastAsia="en-AU"/>
              </w:rPr>
            </w:pPr>
          </w:p>
        </w:tc>
        <w:tc>
          <w:tcPr>
            <w:tcW w:w="826" w:type="pct"/>
            <w:gridSpan w:val="4"/>
          </w:tcPr>
          <w:p w14:paraId="3F892E3A" w14:textId="77777777" w:rsidR="005C670F" w:rsidRPr="00947197" w:rsidRDefault="005C670F" w:rsidP="00947197">
            <w:pPr>
              <w:pStyle w:val="Tabletext"/>
              <w:rPr>
                <w:lang w:eastAsia="en-AU"/>
              </w:rPr>
            </w:pPr>
          </w:p>
        </w:tc>
        <w:tc>
          <w:tcPr>
            <w:tcW w:w="452" w:type="pct"/>
          </w:tcPr>
          <w:p w14:paraId="0CBF3AFE" w14:textId="77777777" w:rsidR="005C670F" w:rsidRPr="00947197" w:rsidRDefault="005C670F" w:rsidP="00947197">
            <w:pPr>
              <w:pStyle w:val="Tabletext"/>
              <w:rPr>
                <w:lang w:eastAsia="en-AU"/>
              </w:rPr>
            </w:pPr>
          </w:p>
        </w:tc>
      </w:tr>
      <w:tr w:rsidR="00947197" w:rsidRPr="00947197" w14:paraId="1D465E13" w14:textId="77777777" w:rsidTr="00D2715F">
        <w:trPr>
          <w:gridAfter w:val="2"/>
          <w:wAfter w:w="52" w:type="pct"/>
          <w:trHeight w:val="300"/>
        </w:trPr>
        <w:tc>
          <w:tcPr>
            <w:tcW w:w="1165" w:type="pct"/>
            <w:noWrap/>
          </w:tcPr>
          <w:p w14:paraId="7E06DB73" w14:textId="77777777" w:rsidR="005C670F" w:rsidRPr="00947197" w:rsidRDefault="005C670F" w:rsidP="00947197">
            <w:pPr>
              <w:pStyle w:val="Tabletext"/>
              <w:rPr>
                <w:color w:val="000000"/>
                <w:lang w:eastAsia="en-AU"/>
              </w:rPr>
            </w:pPr>
            <w:r w:rsidRPr="00947197">
              <w:rPr>
                <w:color w:val="000000"/>
                <w:lang w:eastAsia="en-AU"/>
              </w:rPr>
              <w:t>Quartile 1</w:t>
            </w:r>
          </w:p>
        </w:tc>
        <w:tc>
          <w:tcPr>
            <w:tcW w:w="328" w:type="pct"/>
            <w:noWrap/>
            <w:hideMark/>
          </w:tcPr>
          <w:p w14:paraId="681DC821" w14:textId="77777777" w:rsidR="005C670F" w:rsidRPr="00947197" w:rsidRDefault="005C670F" w:rsidP="00947197">
            <w:pPr>
              <w:pStyle w:val="Tabletext"/>
              <w:rPr>
                <w:color w:val="000000"/>
                <w:lang w:eastAsia="en-AU"/>
              </w:rPr>
            </w:pPr>
          </w:p>
        </w:tc>
        <w:tc>
          <w:tcPr>
            <w:tcW w:w="386" w:type="pct"/>
            <w:noWrap/>
            <w:hideMark/>
          </w:tcPr>
          <w:p w14:paraId="599395D8" w14:textId="77777777" w:rsidR="005C670F" w:rsidRPr="00947197" w:rsidRDefault="005C670F" w:rsidP="00947197">
            <w:pPr>
              <w:pStyle w:val="Tabletext"/>
              <w:rPr>
                <w:lang w:eastAsia="en-AU"/>
              </w:rPr>
            </w:pPr>
          </w:p>
        </w:tc>
        <w:tc>
          <w:tcPr>
            <w:tcW w:w="688" w:type="pct"/>
            <w:gridSpan w:val="2"/>
          </w:tcPr>
          <w:p w14:paraId="0DE862FA" w14:textId="77777777" w:rsidR="005C670F" w:rsidRPr="00947197" w:rsidRDefault="005C670F" w:rsidP="00947197">
            <w:pPr>
              <w:pStyle w:val="Tabletext"/>
              <w:rPr>
                <w:lang w:eastAsia="en-AU"/>
              </w:rPr>
            </w:pPr>
          </w:p>
        </w:tc>
        <w:tc>
          <w:tcPr>
            <w:tcW w:w="560" w:type="pct"/>
          </w:tcPr>
          <w:p w14:paraId="2729CCB1" w14:textId="77777777" w:rsidR="005C670F" w:rsidRPr="00947197" w:rsidRDefault="005C670F" w:rsidP="00947197">
            <w:pPr>
              <w:pStyle w:val="Tabletext"/>
              <w:rPr>
                <w:lang w:eastAsia="en-AU"/>
              </w:rPr>
            </w:pPr>
            <w:r w:rsidRPr="00947197">
              <w:rPr>
                <w:lang w:eastAsia="en-AU"/>
              </w:rPr>
              <w:t>0.36***</w:t>
            </w:r>
          </w:p>
        </w:tc>
        <w:tc>
          <w:tcPr>
            <w:tcW w:w="543" w:type="pct"/>
          </w:tcPr>
          <w:p w14:paraId="099E5ACD" w14:textId="77777777" w:rsidR="005C670F" w:rsidRPr="00947197" w:rsidRDefault="005C670F" w:rsidP="00947197">
            <w:pPr>
              <w:pStyle w:val="Tabletext"/>
              <w:rPr>
                <w:lang w:eastAsia="en-AU"/>
              </w:rPr>
            </w:pPr>
            <w:r w:rsidRPr="00947197">
              <w:rPr>
                <w:lang w:eastAsia="en-AU"/>
              </w:rPr>
              <w:t>0.05</w:t>
            </w:r>
          </w:p>
        </w:tc>
        <w:tc>
          <w:tcPr>
            <w:tcW w:w="826" w:type="pct"/>
            <w:gridSpan w:val="4"/>
          </w:tcPr>
          <w:p w14:paraId="1B0E1C4D" w14:textId="77777777" w:rsidR="005C670F" w:rsidRPr="00947197" w:rsidRDefault="005C670F" w:rsidP="00947197">
            <w:pPr>
              <w:pStyle w:val="Tabletext"/>
              <w:rPr>
                <w:lang w:eastAsia="en-AU"/>
              </w:rPr>
            </w:pPr>
          </w:p>
        </w:tc>
        <w:tc>
          <w:tcPr>
            <w:tcW w:w="452" w:type="pct"/>
          </w:tcPr>
          <w:p w14:paraId="076087CC" w14:textId="77777777" w:rsidR="005C670F" w:rsidRPr="00947197" w:rsidRDefault="005C670F" w:rsidP="00947197">
            <w:pPr>
              <w:pStyle w:val="Tabletext"/>
              <w:rPr>
                <w:lang w:eastAsia="en-AU"/>
              </w:rPr>
            </w:pPr>
          </w:p>
        </w:tc>
      </w:tr>
      <w:tr w:rsidR="00947197" w:rsidRPr="00947197" w14:paraId="3CCA837E" w14:textId="77777777" w:rsidTr="00D2715F">
        <w:trPr>
          <w:gridAfter w:val="2"/>
          <w:wAfter w:w="52" w:type="pct"/>
          <w:trHeight w:val="300"/>
        </w:trPr>
        <w:tc>
          <w:tcPr>
            <w:tcW w:w="1165" w:type="pct"/>
            <w:noWrap/>
          </w:tcPr>
          <w:p w14:paraId="2F93C4E3" w14:textId="77777777" w:rsidR="005C670F" w:rsidRPr="00947197" w:rsidRDefault="005C670F" w:rsidP="00947197">
            <w:pPr>
              <w:pStyle w:val="Tabletext"/>
              <w:rPr>
                <w:color w:val="000000"/>
                <w:lang w:eastAsia="en-AU"/>
              </w:rPr>
            </w:pPr>
            <w:r w:rsidRPr="00947197">
              <w:rPr>
                <w:color w:val="000000"/>
                <w:lang w:eastAsia="en-AU"/>
              </w:rPr>
              <w:t>Quartile 2</w:t>
            </w:r>
          </w:p>
        </w:tc>
        <w:tc>
          <w:tcPr>
            <w:tcW w:w="328" w:type="pct"/>
            <w:noWrap/>
            <w:hideMark/>
          </w:tcPr>
          <w:p w14:paraId="52F504F7" w14:textId="77777777" w:rsidR="005C670F" w:rsidRPr="00947197" w:rsidRDefault="005C670F" w:rsidP="00947197">
            <w:pPr>
              <w:pStyle w:val="Tabletext"/>
              <w:rPr>
                <w:color w:val="000000"/>
                <w:lang w:eastAsia="en-AU"/>
              </w:rPr>
            </w:pPr>
          </w:p>
        </w:tc>
        <w:tc>
          <w:tcPr>
            <w:tcW w:w="386" w:type="pct"/>
            <w:noWrap/>
            <w:hideMark/>
          </w:tcPr>
          <w:p w14:paraId="1CCC6308" w14:textId="77777777" w:rsidR="005C670F" w:rsidRPr="00947197" w:rsidRDefault="005C670F" w:rsidP="00947197">
            <w:pPr>
              <w:pStyle w:val="Tabletext"/>
              <w:rPr>
                <w:lang w:eastAsia="en-AU"/>
              </w:rPr>
            </w:pPr>
          </w:p>
        </w:tc>
        <w:tc>
          <w:tcPr>
            <w:tcW w:w="688" w:type="pct"/>
            <w:gridSpan w:val="2"/>
          </w:tcPr>
          <w:p w14:paraId="67FFE193" w14:textId="77777777" w:rsidR="005C670F" w:rsidRPr="00947197" w:rsidRDefault="005C670F" w:rsidP="00947197">
            <w:pPr>
              <w:pStyle w:val="Tabletext"/>
              <w:rPr>
                <w:lang w:eastAsia="en-AU"/>
              </w:rPr>
            </w:pPr>
          </w:p>
        </w:tc>
        <w:tc>
          <w:tcPr>
            <w:tcW w:w="560" w:type="pct"/>
          </w:tcPr>
          <w:p w14:paraId="5E7DC308" w14:textId="77777777" w:rsidR="005C670F" w:rsidRPr="00947197" w:rsidRDefault="005C670F" w:rsidP="00947197">
            <w:pPr>
              <w:pStyle w:val="Tabletext"/>
              <w:rPr>
                <w:lang w:eastAsia="en-AU"/>
              </w:rPr>
            </w:pPr>
            <w:r w:rsidRPr="00947197">
              <w:rPr>
                <w:lang w:eastAsia="en-AU"/>
              </w:rPr>
              <w:t>0.36***</w:t>
            </w:r>
          </w:p>
        </w:tc>
        <w:tc>
          <w:tcPr>
            <w:tcW w:w="543" w:type="pct"/>
          </w:tcPr>
          <w:p w14:paraId="19AFE2B3" w14:textId="77777777" w:rsidR="005C670F" w:rsidRPr="00947197" w:rsidRDefault="005C670F" w:rsidP="00947197">
            <w:pPr>
              <w:pStyle w:val="Tabletext"/>
              <w:rPr>
                <w:lang w:eastAsia="en-AU"/>
              </w:rPr>
            </w:pPr>
            <w:r w:rsidRPr="00947197">
              <w:rPr>
                <w:lang w:eastAsia="en-AU"/>
              </w:rPr>
              <w:t>0.04</w:t>
            </w:r>
          </w:p>
        </w:tc>
        <w:tc>
          <w:tcPr>
            <w:tcW w:w="826" w:type="pct"/>
            <w:gridSpan w:val="4"/>
          </w:tcPr>
          <w:p w14:paraId="0B98A9DF" w14:textId="77777777" w:rsidR="005C670F" w:rsidRPr="00947197" w:rsidRDefault="005C670F" w:rsidP="00947197">
            <w:pPr>
              <w:pStyle w:val="Tabletext"/>
              <w:rPr>
                <w:lang w:eastAsia="en-AU"/>
              </w:rPr>
            </w:pPr>
          </w:p>
        </w:tc>
        <w:tc>
          <w:tcPr>
            <w:tcW w:w="452" w:type="pct"/>
          </w:tcPr>
          <w:p w14:paraId="7AB9965E" w14:textId="77777777" w:rsidR="005C670F" w:rsidRPr="00947197" w:rsidRDefault="005C670F" w:rsidP="00947197">
            <w:pPr>
              <w:pStyle w:val="Tabletext"/>
              <w:rPr>
                <w:lang w:eastAsia="en-AU"/>
              </w:rPr>
            </w:pPr>
          </w:p>
        </w:tc>
      </w:tr>
      <w:tr w:rsidR="00947197" w:rsidRPr="00947197" w14:paraId="7F07493F" w14:textId="77777777" w:rsidTr="00D2715F">
        <w:trPr>
          <w:gridAfter w:val="2"/>
          <w:wAfter w:w="52" w:type="pct"/>
          <w:trHeight w:val="300"/>
        </w:trPr>
        <w:tc>
          <w:tcPr>
            <w:tcW w:w="1165" w:type="pct"/>
            <w:noWrap/>
          </w:tcPr>
          <w:p w14:paraId="40234F9E" w14:textId="77777777" w:rsidR="005C670F" w:rsidRPr="00947197" w:rsidRDefault="005C670F" w:rsidP="00947197">
            <w:pPr>
              <w:pStyle w:val="Tabletext"/>
              <w:rPr>
                <w:color w:val="000000"/>
                <w:lang w:eastAsia="en-AU"/>
              </w:rPr>
            </w:pPr>
            <w:r w:rsidRPr="00947197">
              <w:rPr>
                <w:color w:val="000000"/>
                <w:lang w:eastAsia="en-AU"/>
              </w:rPr>
              <w:t>Quartile 3</w:t>
            </w:r>
          </w:p>
        </w:tc>
        <w:tc>
          <w:tcPr>
            <w:tcW w:w="328" w:type="pct"/>
            <w:noWrap/>
            <w:hideMark/>
          </w:tcPr>
          <w:p w14:paraId="25B227E2" w14:textId="77777777" w:rsidR="005C670F" w:rsidRPr="00947197" w:rsidRDefault="005C670F" w:rsidP="00947197">
            <w:pPr>
              <w:pStyle w:val="Tabletext"/>
              <w:rPr>
                <w:color w:val="000000"/>
                <w:lang w:eastAsia="en-AU"/>
              </w:rPr>
            </w:pPr>
          </w:p>
        </w:tc>
        <w:tc>
          <w:tcPr>
            <w:tcW w:w="386" w:type="pct"/>
            <w:noWrap/>
            <w:hideMark/>
          </w:tcPr>
          <w:p w14:paraId="3EB0C784" w14:textId="77777777" w:rsidR="005C670F" w:rsidRPr="00947197" w:rsidRDefault="005C670F" w:rsidP="00947197">
            <w:pPr>
              <w:pStyle w:val="Tabletext"/>
              <w:rPr>
                <w:lang w:eastAsia="en-AU"/>
              </w:rPr>
            </w:pPr>
          </w:p>
        </w:tc>
        <w:tc>
          <w:tcPr>
            <w:tcW w:w="688" w:type="pct"/>
            <w:gridSpan w:val="2"/>
          </w:tcPr>
          <w:p w14:paraId="1EE2F88F" w14:textId="77777777" w:rsidR="005C670F" w:rsidRPr="00947197" w:rsidRDefault="005C670F" w:rsidP="00947197">
            <w:pPr>
              <w:pStyle w:val="Tabletext"/>
              <w:rPr>
                <w:lang w:eastAsia="en-AU"/>
              </w:rPr>
            </w:pPr>
          </w:p>
        </w:tc>
        <w:tc>
          <w:tcPr>
            <w:tcW w:w="560" w:type="pct"/>
          </w:tcPr>
          <w:p w14:paraId="0466451E" w14:textId="77777777" w:rsidR="005C670F" w:rsidRPr="00947197" w:rsidRDefault="005C670F" w:rsidP="00947197">
            <w:pPr>
              <w:pStyle w:val="Tabletext"/>
              <w:rPr>
                <w:lang w:eastAsia="en-AU"/>
              </w:rPr>
            </w:pPr>
            <w:r w:rsidRPr="00947197">
              <w:rPr>
                <w:lang w:eastAsia="en-AU"/>
              </w:rPr>
              <w:t>0.55***</w:t>
            </w:r>
          </w:p>
        </w:tc>
        <w:tc>
          <w:tcPr>
            <w:tcW w:w="543" w:type="pct"/>
          </w:tcPr>
          <w:p w14:paraId="62764818" w14:textId="77777777" w:rsidR="005C670F" w:rsidRPr="00947197" w:rsidRDefault="005C670F" w:rsidP="00947197">
            <w:pPr>
              <w:pStyle w:val="Tabletext"/>
              <w:rPr>
                <w:lang w:eastAsia="en-AU"/>
              </w:rPr>
            </w:pPr>
            <w:r w:rsidRPr="00947197">
              <w:rPr>
                <w:lang w:eastAsia="en-AU"/>
              </w:rPr>
              <w:t>0.06</w:t>
            </w:r>
          </w:p>
        </w:tc>
        <w:tc>
          <w:tcPr>
            <w:tcW w:w="826" w:type="pct"/>
            <w:gridSpan w:val="4"/>
          </w:tcPr>
          <w:p w14:paraId="6EB8A366" w14:textId="77777777" w:rsidR="005C670F" w:rsidRPr="00947197" w:rsidRDefault="005C670F" w:rsidP="00947197">
            <w:pPr>
              <w:pStyle w:val="Tabletext"/>
              <w:rPr>
                <w:lang w:eastAsia="en-AU"/>
              </w:rPr>
            </w:pPr>
          </w:p>
        </w:tc>
        <w:tc>
          <w:tcPr>
            <w:tcW w:w="452" w:type="pct"/>
          </w:tcPr>
          <w:p w14:paraId="3C61625C" w14:textId="77777777" w:rsidR="005C670F" w:rsidRPr="00947197" w:rsidRDefault="005C670F" w:rsidP="00947197">
            <w:pPr>
              <w:pStyle w:val="Tabletext"/>
              <w:rPr>
                <w:lang w:eastAsia="en-AU"/>
              </w:rPr>
            </w:pPr>
          </w:p>
        </w:tc>
      </w:tr>
      <w:tr w:rsidR="00947197" w:rsidRPr="00947197" w14:paraId="7FA72C4D" w14:textId="77777777" w:rsidTr="00D2715F">
        <w:trPr>
          <w:gridAfter w:val="2"/>
          <w:wAfter w:w="52" w:type="pct"/>
          <w:trHeight w:val="300"/>
        </w:trPr>
        <w:tc>
          <w:tcPr>
            <w:tcW w:w="1165" w:type="pct"/>
            <w:noWrap/>
          </w:tcPr>
          <w:p w14:paraId="5591F052" w14:textId="77777777" w:rsidR="005C670F" w:rsidRPr="00947197" w:rsidRDefault="005C670F" w:rsidP="00F37D0D">
            <w:pPr>
              <w:pStyle w:val="Tabletext"/>
              <w:rPr>
                <w:b/>
                <w:color w:val="000000"/>
                <w:lang w:eastAsia="en-AU"/>
              </w:rPr>
            </w:pPr>
            <w:r w:rsidRPr="00947197">
              <w:rPr>
                <w:b/>
                <w:color w:val="000000"/>
                <w:lang w:eastAsia="en-AU"/>
              </w:rPr>
              <w:t>Student*school SES</w:t>
            </w:r>
          </w:p>
        </w:tc>
        <w:tc>
          <w:tcPr>
            <w:tcW w:w="328" w:type="pct"/>
            <w:noWrap/>
          </w:tcPr>
          <w:p w14:paraId="5ABD4C22" w14:textId="77777777" w:rsidR="005C670F" w:rsidRPr="00947197" w:rsidRDefault="005C670F" w:rsidP="00F37D0D">
            <w:pPr>
              <w:pStyle w:val="Tabletext"/>
              <w:rPr>
                <w:color w:val="000000"/>
                <w:lang w:eastAsia="en-AU"/>
              </w:rPr>
            </w:pPr>
          </w:p>
        </w:tc>
        <w:tc>
          <w:tcPr>
            <w:tcW w:w="386" w:type="pct"/>
            <w:noWrap/>
          </w:tcPr>
          <w:p w14:paraId="2B1EA618" w14:textId="77777777" w:rsidR="005C670F" w:rsidRPr="00947197" w:rsidRDefault="005C670F" w:rsidP="00F37D0D">
            <w:pPr>
              <w:pStyle w:val="Tabletext"/>
              <w:rPr>
                <w:lang w:eastAsia="en-AU"/>
              </w:rPr>
            </w:pPr>
          </w:p>
        </w:tc>
        <w:tc>
          <w:tcPr>
            <w:tcW w:w="688" w:type="pct"/>
            <w:gridSpan w:val="2"/>
          </w:tcPr>
          <w:p w14:paraId="51D6B638" w14:textId="77777777" w:rsidR="005C670F" w:rsidRPr="00947197" w:rsidRDefault="005C670F" w:rsidP="00F37D0D">
            <w:pPr>
              <w:pStyle w:val="Tabletext"/>
              <w:rPr>
                <w:lang w:eastAsia="en-AU"/>
              </w:rPr>
            </w:pPr>
          </w:p>
        </w:tc>
        <w:tc>
          <w:tcPr>
            <w:tcW w:w="560" w:type="pct"/>
          </w:tcPr>
          <w:p w14:paraId="35195178" w14:textId="77777777" w:rsidR="005C670F" w:rsidRPr="00947197" w:rsidRDefault="005C670F" w:rsidP="00F37D0D">
            <w:pPr>
              <w:pStyle w:val="Tabletext"/>
              <w:rPr>
                <w:lang w:eastAsia="en-AU"/>
              </w:rPr>
            </w:pPr>
          </w:p>
        </w:tc>
        <w:tc>
          <w:tcPr>
            <w:tcW w:w="543" w:type="pct"/>
          </w:tcPr>
          <w:p w14:paraId="27573B3E" w14:textId="77777777" w:rsidR="005C670F" w:rsidRPr="00947197" w:rsidRDefault="005C670F" w:rsidP="00F37D0D">
            <w:pPr>
              <w:pStyle w:val="Tabletext"/>
              <w:rPr>
                <w:lang w:eastAsia="en-AU"/>
              </w:rPr>
            </w:pPr>
          </w:p>
        </w:tc>
        <w:tc>
          <w:tcPr>
            <w:tcW w:w="826" w:type="pct"/>
            <w:gridSpan w:val="4"/>
          </w:tcPr>
          <w:p w14:paraId="58887A69" w14:textId="77777777" w:rsidR="005C670F" w:rsidRPr="00947197" w:rsidRDefault="005C670F" w:rsidP="00F37D0D">
            <w:pPr>
              <w:pStyle w:val="Tabletext"/>
              <w:rPr>
                <w:lang w:eastAsia="en-AU"/>
              </w:rPr>
            </w:pPr>
          </w:p>
        </w:tc>
        <w:tc>
          <w:tcPr>
            <w:tcW w:w="452" w:type="pct"/>
          </w:tcPr>
          <w:p w14:paraId="06CCF387" w14:textId="77777777" w:rsidR="005C670F" w:rsidRPr="00947197" w:rsidRDefault="005C670F" w:rsidP="00F37D0D">
            <w:pPr>
              <w:pStyle w:val="Tabletext"/>
              <w:rPr>
                <w:lang w:eastAsia="en-AU"/>
              </w:rPr>
            </w:pPr>
          </w:p>
        </w:tc>
      </w:tr>
      <w:tr w:rsidR="00947197" w:rsidRPr="00947197" w14:paraId="6875DD10" w14:textId="77777777" w:rsidTr="00D2715F">
        <w:trPr>
          <w:gridAfter w:val="2"/>
          <w:wAfter w:w="52" w:type="pct"/>
          <w:trHeight w:val="300"/>
        </w:trPr>
        <w:tc>
          <w:tcPr>
            <w:tcW w:w="1165" w:type="pct"/>
            <w:noWrap/>
          </w:tcPr>
          <w:p w14:paraId="4B5B70E5" w14:textId="77777777" w:rsidR="005C670F" w:rsidRPr="00947197" w:rsidRDefault="005C670F" w:rsidP="00947197">
            <w:pPr>
              <w:pStyle w:val="Tabletext"/>
              <w:rPr>
                <w:color w:val="000000"/>
                <w:lang w:eastAsia="en-AU"/>
              </w:rPr>
            </w:pPr>
            <w:r w:rsidRPr="00947197">
              <w:rPr>
                <w:color w:val="000000"/>
                <w:lang w:eastAsia="en-AU"/>
              </w:rPr>
              <w:t>Q4student*Q4school (ref.)</w:t>
            </w:r>
          </w:p>
        </w:tc>
        <w:tc>
          <w:tcPr>
            <w:tcW w:w="328" w:type="pct"/>
            <w:noWrap/>
          </w:tcPr>
          <w:p w14:paraId="0E06E2D4" w14:textId="77777777" w:rsidR="005C670F" w:rsidRPr="00947197" w:rsidRDefault="005C670F" w:rsidP="00947197">
            <w:pPr>
              <w:pStyle w:val="Tabletext"/>
              <w:rPr>
                <w:color w:val="000000"/>
                <w:lang w:eastAsia="en-AU"/>
              </w:rPr>
            </w:pPr>
          </w:p>
        </w:tc>
        <w:tc>
          <w:tcPr>
            <w:tcW w:w="386" w:type="pct"/>
            <w:noWrap/>
          </w:tcPr>
          <w:p w14:paraId="39388621" w14:textId="77777777" w:rsidR="005C670F" w:rsidRPr="00947197" w:rsidRDefault="005C670F" w:rsidP="00947197">
            <w:pPr>
              <w:pStyle w:val="Tabletext"/>
              <w:rPr>
                <w:lang w:eastAsia="en-AU"/>
              </w:rPr>
            </w:pPr>
          </w:p>
        </w:tc>
        <w:tc>
          <w:tcPr>
            <w:tcW w:w="688" w:type="pct"/>
            <w:gridSpan w:val="2"/>
          </w:tcPr>
          <w:p w14:paraId="487E72C9" w14:textId="77777777" w:rsidR="005C670F" w:rsidRPr="00947197" w:rsidRDefault="005C670F" w:rsidP="00947197">
            <w:pPr>
              <w:pStyle w:val="Tabletext"/>
              <w:rPr>
                <w:lang w:eastAsia="en-AU"/>
              </w:rPr>
            </w:pPr>
          </w:p>
        </w:tc>
        <w:tc>
          <w:tcPr>
            <w:tcW w:w="560" w:type="pct"/>
          </w:tcPr>
          <w:p w14:paraId="360657D8" w14:textId="77777777" w:rsidR="005C670F" w:rsidRPr="00947197" w:rsidRDefault="005C670F" w:rsidP="00947197">
            <w:pPr>
              <w:pStyle w:val="Tabletext"/>
              <w:rPr>
                <w:lang w:eastAsia="en-AU"/>
              </w:rPr>
            </w:pPr>
          </w:p>
        </w:tc>
        <w:tc>
          <w:tcPr>
            <w:tcW w:w="543" w:type="pct"/>
          </w:tcPr>
          <w:p w14:paraId="2C64D69B" w14:textId="77777777" w:rsidR="005C670F" w:rsidRPr="00947197" w:rsidRDefault="005C670F" w:rsidP="00947197">
            <w:pPr>
              <w:pStyle w:val="Tabletext"/>
              <w:rPr>
                <w:lang w:eastAsia="en-AU"/>
              </w:rPr>
            </w:pPr>
          </w:p>
        </w:tc>
        <w:tc>
          <w:tcPr>
            <w:tcW w:w="826" w:type="pct"/>
            <w:gridSpan w:val="4"/>
          </w:tcPr>
          <w:p w14:paraId="3389C9AF" w14:textId="77777777" w:rsidR="005C670F" w:rsidRPr="00947197" w:rsidRDefault="005C670F" w:rsidP="00947197">
            <w:pPr>
              <w:pStyle w:val="Tabletext"/>
              <w:rPr>
                <w:lang w:eastAsia="en-AU"/>
              </w:rPr>
            </w:pPr>
          </w:p>
        </w:tc>
        <w:tc>
          <w:tcPr>
            <w:tcW w:w="452" w:type="pct"/>
          </w:tcPr>
          <w:p w14:paraId="480AFC17" w14:textId="77777777" w:rsidR="005C670F" w:rsidRPr="00947197" w:rsidRDefault="005C670F" w:rsidP="00947197">
            <w:pPr>
              <w:pStyle w:val="Tabletext"/>
              <w:rPr>
                <w:lang w:eastAsia="en-AU"/>
              </w:rPr>
            </w:pPr>
          </w:p>
        </w:tc>
      </w:tr>
      <w:tr w:rsidR="00947197" w:rsidRPr="00947197" w14:paraId="547B7FFE" w14:textId="77777777" w:rsidTr="00D2715F">
        <w:trPr>
          <w:gridAfter w:val="2"/>
          <w:wAfter w:w="52" w:type="pct"/>
          <w:trHeight w:val="300"/>
        </w:trPr>
        <w:tc>
          <w:tcPr>
            <w:tcW w:w="1165" w:type="pct"/>
            <w:noWrap/>
          </w:tcPr>
          <w:p w14:paraId="0CAE9F6F" w14:textId="77777777" w:rsidR="005C670F" w:rsidRPr="00947197" w:rsidRDefault="005C670F" w:rsidP="00947197">
            <w:pPr>
              <w:pStyle w:val="Tabletext"/>
              <w:rPr>
                <w:color w:val="000000"/>
                <w:lang w:eastAsia="en-AU"/>
              </w:rPr>
            </w:pPr>
            <w:r w:rsidRPr="00947197">
              <w:rPr>
                <w:color w:val="000000"/>
                <w:lang w:eastAsia="en-AU"/>
              </w:rPr>
              <w:t>Q1student *Q1school</w:t>
            </w:r>
          </w:p>
        </w:tc>
        <w:tc>
          <w:tcPr>
            <w:tcW w:w="328" w:type="pct"/>
            <w:noWrap/>
          </w:tcPr>
          <w:p w14:paraId="22271907" w14:textId="77777777" w:rsidR="005C670F" w:rsidRPr="00947197" w:rsidRDefault="005C670F" w:rsidP="00947197">
            <w:pPr>
              <w:pStyle w:val="Tabletext"/>
              <w:rPr>
                <w:color w:val="000000"/>
                <w:lang w:eastAsia="en-AU"/>
              </w:rPr>
            </w:pPr>
          </w:p>
        </w:tc>
        <w:tc>
          <w:tcPr>
            <w:tcW w:w="386" w:type="pct"/>
            <w:noWrap/>
          </w:tcPr>
          <w:p w14:paraId="50F7E1C1" w14:textId="77777777" w:rsidR="005C670F" w:rsidRPr="00947197" w:rsidRDefault="005C670F" w:rsidP="00947197">
            <w:pPr>
              <w:pStyle w:val="Tabletext"/>
              <w:rPr>
                <w:lang w:eastAsia="en-AU"/>
              </w:rPr>
            </w:pPr>
          </w:p>
        </w:tc>
        <w:tc>
          <w:tcPr>
            <w:tcW w:w="688" w:type="pct"/>
            <w:gridSpan w:val="2"/>
          </w:tcPr>
          <w:p w14:paraId="509C9C81" w14:textId="77777777" w:rsidR="005C670F" w:rsidRPr="00947197" w:rsidRDefault="005C670F" w:rsidP="00947197">
            <w:pPr>
              <w:pStyle w:val="Tabletext"/>
              <w:rPr>
                <w:lang w:eastAsia="en-AU"/>
              </w:rPr>
            </w:pPr>
          </w:p>
        </w:tc>
        <w:tc>
          <w:tcPr>
            <w:tcW w:w="560" w:type="pct"/>
          </w:tcPr>
          <w:p w14:paraId="232CD037" w14:textId="77777777" w:rsidR="005C670F" w:rsidRPr="00947197" w:rsidRDefault="005C670F" w:rsidP="00947197">
            <w:pPr>
              <w:pStyle w:val="Tabletext"/>
              <w:rPr>
                <w:lang w:eastAsia="en-AU"/>
              </w:rPr>
            </w:pPr>
          </w:p>
        </w:tc>
        <w:tc>
          <w:tcPr>
            <w:tcW w:w="543" w:type="pct"/>
          </w:tcPr>
          <w:p w14:paraId="093C8F2C" w14:textId="77777777" w:rsidR="005C670F" w:rsidRPr="00947197" w:rsidRDefault="005C670F" w:rsidP="00947197">
            <w:pPr>
              <w:pStyle w:val="Tabletext"/>
              <w:rPr>
                <w:lang w:eastAsia="en-AU"/>
              </w:rPr>
            </w:pPr>
          </w:p>
        </w:tc>
        <w:tc>
          <w:tcPr>
            <w:tcW w:w="826" w:type="pct"/>
            <w:gridSpan w:val="4"/>
          </w:tcPr>
          <w:p w14:paraId="734D3F82" w14:textId="77777777" w:rsidR="005C670F" w:rsidRPr="00947197" w:rsidRDefault="005C670F" w:rsidP="00947197">
            <w:pPr>
              <w:pStyle w:val="Tabletext"/>
              <w:rPr>
                <w:lang w:eastAsia="en-AU"/>
              </w:rPr>
            </w:pPr>
            <w:r w:rsidRPr="00947197">
              <w:rPr>
                <w:lang w:eastAsia="en-AU"/>
              </w:rPr>
              <w:t>0.21***</w:t>
            </w:r>
          </w:p>
        </w:tc>
        <w:tc>
          <w:tcPr>
            <w:tcW w:w="452" w:type="pct"/>
          </w:tcPr>
          <w:p w14:paraId="758A44BA" w14:textId="77777777" w:rsidR="005C670F" w:rsidRPr="00947197" w:rsidRDefault="005C670F" w:rsidP="00947197">
            <w:pPr>
              <w:pStyle w:val="Tabletext"/>
              <w:rPr>
                <w:lang w:eastAsia="en-AU"/>
              </w:rPr>
            </w:pPr>
            <w:r w:rsidRPr="00947197">
              <w:rPr>
                <w:lang w:eastAsia="en-AU"/>
              </w:rPr>
              <w:t>0.05</w:t>
            </w:r>
          </w:p>
        </w:tc>
      </w:tr>
      <w:tr w:rsidR="00947197" w:rsidRPr="00947197" w14:paraId="333364D9" w14:textId="77777777" w:rsidTr="00D2715F">
        <w:trPr>
          <w:gridAfter w:val="2"/>
          <w:wAfter w:w="52" w:type="pct"/>
          <w:trHeight w:val="300"/>
        </w:trPr>
        <w:tc>
          <w:tcPr>
            <w:tcW w:w="1165" w:type="pct"/>
            <w:noWrap/>
          </w:tcPr>
          <w:p w14:paraId="20EA06D2" w14:textId="77777777" w:rsidR="005C670F" w:rsidRPr="00947197" w:rsidRDefault="005C670F" w:rsidP="00947197">
            <w:pPr>
              <w:pStyle w:val="Tabletext"/>
              <w:rPr>
                <w:color w:val="000000"/>
                <w:lang w:eastAsia="en-AU"/>
              </w:rPr>
            </w:pPr>
            <w:r w:rsidRPr="00947197">
              <w:rPr>
                <w:color w:val="000000"/>
                <w:lang w:eastAsia="en-AU"/>
              </w:rPr>
              <w:t>Q1student *Q2school</w:t>
            </w:r>
          </w:p>
        </w:tc>
        <w:tc>
          <w:tcPr>
            <w:tcW w:w="328" w:type="pct"/>
            <w:noWrap/>
            <w:hideMark/>
          </w:tcPr>
          <w:p w14:paraId="4D146E12" w14:textId="77777777" w:rsidR="005C670F" w:rsidRPr="00947197" w:rsidRDefault="005C670F" w:rsidP="00947197">
            <w:pPr>
              <w:pStyle w:val="Tabletext"/>
              <w:rPr>
                <w:color w:val="000000"/>
                <w:lang w:eastAsia="en-AU"/>
              </w:rPr>
            </w:pPr>
          </w:p>
        </w:tc>
        <w:tc>
          <w:tcPr>
            <w:tcW w:w="386" w:type="pct"/>
            <w:noWrap/>
            <w:hideMark/>
          </w:tcPr>
          <w:p w14:paraId="23CF82D4" w14:textId="77777777" w:rsidR="005C670F" w:rsidRPr="00947197" w:rsidRDefault="005C670F" w:rsidP="00947197">
            <w:pPr>
              <w:pStyle w:val="Tabletext"/>
              <w:rPr>
                <w:lang w:eastAsia="en-AU"/>
              </w:rPr>
            </w:pPr>
          </w:p>
        </w:tc>
        <w:tc>
          <w:tcPr>
            <w:tcW w:w="688" w:type="pct"/>
            <w:gridSpan w:val="2"/>
          </w:tcPr>
          <w:p w14:paraId="6ADAD422" w14:textId="77777777" w:rsidR="005C670F" w:rsidRPr="00947197" w:rsidRDefault="005C670F" w:rsidP="00947197">
            <w:pPr>
              <w:pStyle w:val="Tabletext"/>
              <w:rPr>
                <w:lang w:eastAsia="en-AU"/>
              </w:rPr>
            </w:pPr>
          </w:p>
        </w:tc>
        <w:tc>
          <w:tcPr>
            <w:tcW w:w="560" w:type="pct"/>
          </w:tcPr>
          <w:p w14:paraId="68090360" w14:textId="77777777" w:rsidR="005C670F" w:rsidRPr="00947197" w:rsidRDefault="005C670F" w:rsidP="00947197">
            <w:pPr>
              <w:pStyle w:val="Tabletext"/>
              <w:rPr>
                <w:lang w:eastAsia="en-AU"/>
              </w:rPr>
            </w:pPr>
          </w:p>
        </w:tc>
        <w:tc>
          <w:tcPr>
            <w:tcW w:w="543" w:type="pct"/>
          </w:tcPr>
          <w:p w14:paraId="3CD370C9" w14:textId="77777777" w:rsidR="005C670F" w:rsidRPr="00947197" w:rsidRDefault="005C670F" w:rsidP="00947197">
            <w:pPr>
              <w:pStyle w:val="Tabletext"/>
              <w:rPr>
                <w:lang w:eastAsia="en-AU"/>
              </w:rPr>
            </w:pPr>
          </w:p>
        </w:tc>
        <w:tc>
          <w:tcPr>
            <w:tcW w:w="826" w:type="pct"/>
            <w:gridSpan w:val="4"/>
          </w:tcPr>
          <w:p w14:paraId="169AB2FA" w14:textId="77777777" w:rsidR="005C670F" w:rsidRPr="00947197" w:rsidRDefault="005C670F" w:rsidP="00947197">
            <w:pPr>
              <w:pStyle w:val="Tabletext"/>
              <w:rPr>
                <w:lang w:eastAsia="en-AU"/>
              </w:rPr>
            </w:pPr>
            <w:r w:rsidRPr="00947197">
              <w:rPr>
                <w:lang w:eastAsia="en-AU"/>
              </w:rPr>
              <w:t>0.17***</w:t>
            </w:r>
          </w:p>
        </w:tc>
        <w:tc>
          <w:tcPr>
            <w:tcW w:w="452" w:type="pct"/>
          </w:tcPr>
          <w:p w14:paraId="47D0E022" w14:textId="77777777" w:rsidR="005C670F" w:rsidRPr="00947197" w:rsidRDefault="005C670F" w:rsidP="00947197">
            <w:pPr>
              <w:pStyle w:val="Tabletext"/>
              <w:rPr>
                <w:lang w:eastAsia="en-AU"/>
              </w:rPr>
            </w:pPr>
            <w:r w:rsidRPr="00947197">
              <w:rPr>
                <w:lang w:eastAsia="en-AU"/>
              </w:rPr>
              <w:t>0.03</w:t>
            </w:r>
          </w:p>
        </w:tc>
      </w:tr>
      <w:tr w:rsidR="00947197" w:rsidRPr="00947197" w14:paraId="6605B3E2" w14:textId="77777777" w:rsidTr="00D2715F">
        <w:trPr>
          <w:gridAfter w:val="2"/>
          <w:wAfter w:w="52" w:type="pct"/>
          <w:trHeight w:val="300"/>
        </w:trPr>
        <w:tc>
          <w:tcPr>
            <w:tcW w:w="1165" w:type="pct"/>
            <w:noWrap/>
          </w:tcPr>
          <w:p w14:paraId="55B0B345" w14:textId="77777777" w:rsidR="005C670F" w:rsidRPr="00947197" w:rsidRDefault="005C670F" w:rsidP="00947197">
            <w:pPr>
              <w:pStyle w:val="Tabletext"/>
              <w:rPr>
                <w:color w:val="000000"/>
                <w:lang w:eastAsia="en-AU"/>
              </w:rPr>
            </w:pPr>
            <w:r w:rsidRPr="00947197">
              <w:rPr>
                <w:color w:val="000000"/>
                <w:lang w:eastAsia="en-AU"/>
              </w:rPr>
              <w:t>Q1student *Q3school</w:t>
            </w:r>
          </w:p>
        </w:tc>
        <w:tc>
          <w:tcPr>
            <w:tcW w:w="328" w:type="pct"/>
            <w:noWrap/>
            <w:hideMark/>
          </w:tcPr>
          <w:p w14:paraId="76DA411E" w14:textId="77777777" w:rsidR="005C670F" w:rsidRPr="00947197" w:rsidRDefault="005C670F" w:rsidP="00947197">
            <w:pPr>
              <w:pStyle w:val="Tabletext"/>
              <w:rPr>
                <w:color w:val="000000"/>
                <w:lang w:eastAsia="en-AU"/>
              </w:rPr>
            </w:pPr>
          </w:p>
        </w:tc>
        <w:tc>
          <w:tcPr>
            <w:tcW w:w="386" w:type="pct"/>
            <w:noWrap/>
            <w:hideMark/>
          </w:tcPr>
          <w:p w14:paraId="2E01210C" w14:textId="77777777" w:rsidR="005C670F" w:rsidRPr="00947197" w:rsidRDefault="005C670F" w:rsidP="00947197">
            <w:pPr>
              <w:pStyle w:val="Tabletext"/>
              <w:rPr>
                <w:lang w:eastAsia="en-AU"/>
              </w:rPr>
            </w:pPr>
          </w:p>
        </w:tc>
        <w:tc>
          <w:tcPr>
            <w:tcW w:w="688" w:type="pct"/>
            <w:gridSpan w:val="2"/>
          </w:tcPr>
          <w:p w14:paraId="7C5D9AA7" w14:textId="77777777" w:rsidR="005C670F" w:rsidRPr="00947197" w:rsidRDefault="005C670F" w:rsidP="00947197">
            <w:pPr>
              <w:pStyle w:val="Tabletext"/>
              <w:rPr>
                <w:lang w:eastAsia="en-AU"/>
              </w:rPr>
            </w:pPr>
          </w:p>
        </w:tc>
        <w:tc>
          <w:tcPr>
            <w:tcW w:w="560" w:type="pct"/>
          </w:tcPr>
          <w:p w14:paraId="2E02FBF2" w14:textId="77777777" w:rsidR="005C670F" w:rsidRPr="00947197" w:rsidRDefault="005C670F" w:rsidP="00947197">
            <w:pPr>
              <w:pStyle w:val="Tabletext"/>
              <w:rPr>
                <w:lang w:eastAsia="en-AU"/>
              </w:rPr>
            </w:pPr>
          </w:p>
        </w:tc>
        <w:tc>
          <w:tcPr>
            <w:tcW w:w="543" w:type="pct"/>
          </w:tcPr>
          <w:p w14:paraId="43882F62" w14:textId="77777777" w:rsidR="005C670F" w:rsidRPr="00947197" w:rsidRDefault="005C670F" w:rsidP="00947197">
            <w:pPr>
              <w:pStyle w:val="Tabletext"/>
              <w:rPr>
                <w:lang w:eastAsia="en-AU"/>
              </w:rPr>
            </w:pPr>
          </w:p>
        </w:tc>
        <w:tc>
          <w:tcPr>
            <w:tcW w:w="826" w:type="pct"/>
            <w:gridSpan w:val="4"/>
          </w:tcPr>
          <w:p w14:paraId="5A8E8C7B" w14:textId="77777777" w:rsidR="005C670F" w:rsidRPr="00947197" w:rsidRDefault="005C670F" w:rsidP="00947197">
            <w:pPr>
              <w:pStyle w:val="Tabletext"/>
              <w:rPr>
                <w:lang w:eastAsia="en-AU"/>
              </w:rPr>
            </w:pPr>
            <w:r w:rsidRPr="00947197">
              <w:rPr>
                <w:lang w:eastAsia="en-AU"/>
              </w:rPr>
              <w:t>0.16***</w:t>
            </w:r>
          </w:p>
        </w:tc>
        <w:tc>
          <w:tcPr>
            <w:tcW w:w="452" w:type="pct"/>
          </w:tcPr>
          <w:p w14:paraId="29B02845" w14:textId="77777777" w:rsidR="005C670F" w:rsidRPr="00947197" w:rsidRDefault="005C670F" w:rsidP="00947197">
            <w:pPr>
              <w:pStyle w:val="Tabletext"/>
              <w:rPr>
                <w:lang w:eastAsia="en-AU"/>
              </w:rPr>
            </w:pPr>
            <w:r w:rsidRPr="00947197">
              <w:rPr>
                <w:lang w:eastAsia="en-AU"/>
              </w:rPr>
              <w:t>0.05</w:t>
            </w:r>
          </w:p>
        </w:tc>
      </w:tr>
      <w:tr w:rsidR="00947197" w:rsidRPr="00947197" w14:paraId="4A24F12F" w14:textId="77777777" w:rsidTr="00D2715F">
        <w:trPr>
          <w:gridAfter w:val="2"/>
          <w:wAfter w:w="52" w:type="pct"/>
          <w:trHeight w:val="300"/>
        </w:trPr>
        <w:tc>
          <w:tcPr>
            <w:tcW w:w="1165" w:type="pct"/>
            <w:noWrap/>
          </w:tcPr>
          <w:p w14:paraId="03D2D69F" w14:textId="77777777" w:rsidR="005C670F" w:rsidRPr="00947197" w:rsidRDefault="005C670F" w:rsidP="00947197">
            <w:pPr>
              <w:pStyle w:val="Tabletext"/>
              <w:rPr>
                <w:color w:val="000000"/>
                <w:lang w:eastAsia="en-AU"/>
              </w:rPr>
            </w:pPr>
            <w:r w:rsidRPr="00947197">
              <w:rPr>
                <w:color w:val="000000"/>
                <w:lang w:eastAsia="en-AU"/>
              </w:rPr>
              <w:t>Q1student *Q4school</w:t>
            </w:r>
          </w:p>
        </w:tc>
        <w:tc>
          <w:tcPr>
            <w:tcW w:w="328" w:type="pct"/>
            <w:noWrap/>
            <w:hideMark/>
          </w:tcPr>
          <w:p w14:paraId="4A804C5B" w14:textId="77777777" w:rsidR="005C670F" w:rsidRPr="00947197" w:rsidRDefault="005C670F" w:rsidP="00947197">
            <w:pPr>
              <w:pStyle w:val="Tabletext"/>
              <w:rPr>
                <w:color w:val="000000"/>
                <w:lang w:eastAsia="en-AU"/>
              </w:rPr>
            </w:pPr>
          </w:p>
        </w:tc>
        <w:tc>
          <w:tcPr>
            <w:tcW w:w="386" w:type="pct"/>
            <w:noWrap/>
            <w:hideMark/>
          </w:tcPr>
          <w:p w14:paraId="36FE1A8C" w14:textId="77777777" w:rsidR="005C670F" w:rsidRPr="00947197" w:rsidRDefault="005C670F" w:rsidP="00947197">
            <w:pPr>
              <w:pStyle w:val="Tabletext"/>
              <w:rPr>
                <w:lang w:eastAsia="en-AU"/>
              </w:rPr>
            </w:pPr>
          </w:p>
        </w:tc>
        <w:tc>
          <w:tcPr>
            <w:tcW w:w="688" w:type="pct"/>
            <w:gridSpan w:val="2"/>
          </w:tcPr>
          <w:p w14:paraId="4D4D3E62" w14:textId="77777777" w:rsidR="005C670F" w:rsidRPr="00947197" w:rsidRDefault="005C670F" w:rsidP="00947197">
            <w:pPr>
              <w:pStyle w:val="Tabletext"/>
              <w:rPr>
                <w:lang w:eastAsia="en-AU"/>
              </w:rPr>
            </w:pPr>
          </w:p>
        </w:tc>
        <w:tc>
          <w:tcPr>
            <w:tcW w:w="560" w:type="pct"/>
          </w:tcPr>
          <w:p w14:paraId="275F010E" w14:textId="77777777" w:rsidR="005C670F" w:rsidRPr="00947197" w:rsidRDefault="005C670F" w:rsidP="00947197">
            <w:pPr>
              <w:pStyle w:val="Tabletext"/>
              <w:rPr>
                <w:lang w:eastAsia="en-AU"/>
              </w:rPr>
            </w:pPr>
          </w:p>
        </w:tc>
        <w:tc>
          <w:tcPr>
            <w:tcW w:w="543" w:type="pct"/>
          </w:tcPr>
          <w:p w14:paraId="02B84C8F" w14:textId="77777777" w:rsidR="005C670F" w:rsidRPr="00947197" w:rsidRDefault="005C670F" w:rsidP="00947197">
            <w:pPr>
              <w:pStyle w:val="Tabletext"/>
              <w:rPr>
                <w:lang w:eastAsia="en-AU"/>
              </w:rPr>
            </w:pPr>
          </w:p>
        </w:tc>
        <w:tc>
          <w:tcPr>
            <w:tcW w:w="826" w:type="pct"/>
            <w:gridSpan w:val="4"/>
          </w:tcPr>
          <w:p w14:paraId="735DAE96" w14:textId="77777777" w:rsidR="005C670F" w:rsidRPr="00947197" w:rsidRDefault="005C670F" w:rsidP="00947197">
            <w:pPr>
              <w:pStyle w:val="Tabletext"/>
              <w:rPr>
                <w:lang w:eastAsia="en-AU"/>
              </w:rPr>
            </w:pPr>
            <w:r w:rsidRPr="00947197">
              <w:rPr>
                <w:lang w:eastAsia="en-AU"/>
              </w:rPr>
              <w:t>0.29***</w:t>
            </w:r>
          </w:p>
        </w:tc>
        <w:tc>
          <w:tcPr>
            <w:tcW w:w="452" w:type="pct"/>
          </w:tcPr>
          <w:p w14:paraId="6BFFA9E0" w14:textId="77777777" w:rsidR="005C670F" w:rsidRPr="00947197" w:rsidRDefault="005C670F" w:rsidP="00947197">
            <w:pPr>
              <w:pStyle w:val="Tabletext"/>
              <w:rPr>
                <w:lang w:eastAsia="en-AU"/>
              </w:rPr>
            </w:pPr>
            <w:r w:rsidRPr="00947197">
              <w:rPr>
                <w:lang w:eastAsia="en-AU"/>
              </w:rPr>
              <w:t>0.08</w:t>
            </w:r>
          </w:p>
        </w:tc>
      </w:tr>
      <w:tr w:rsidR="00947197" w:rsidRPr="00947197" w14:paraId="2F06D24B" w14:textId="77777777" w:rsidTr="00D2715F">
        <w:trPr>
          <w:gridAfter w:val="2"/>
          <w:wAfter w:w="52" w:type="pct"/>
          <w:trHeight w:val="300"/>
        </w:trPr>
        <w:tc>
          <w:tcPr>
            <w:tcW w:w="1165" w:type="pct"/>
            <w:noWrap/>
          </w:tcPr>
          <w:p w14:paraId="064566D4" w14:textId="77777777" w:rsidR="005C670F" w:rsidRPr="00947197" w:rsidRDefault="005C670F" w:rsidP="00947197">
            <w:pPr>
              <w:pStyle w:val="Tabletext"/>
              <w:rPr>
                <w:color w:val="000000"/>
                <w:lang w:eastAsia="en-AU"/>
              </w:rPr>
            </w:pPr>
            <w:r w:rsidRPr="00947197">
              <w:rPr>
                <w:color w:val="000000"/>
                <w:lang w:eastAsia="en-AU"/>
              </w:rPr>
              <w:t xml:space="preserve">Q2student *Q1school </w:t>
            </w:r>
          </w:p>
        </w:tc>
        <w:tc>
          <w:tcPr>
            <w:tcW w:w="328" w:type="pct"/>
            <w:noWrap/>
          </w:tcPr>
          <w:p w14:paraId="2F8682D2" w14:textId="77777777" w:rsidR="005C670F" w:rsidRPr="00947197" w:rsidRDefault="005C670F" w:rsidP="00947197">
            <w:pPr>
              <w:pStyle w:val="Tabletext"/>
              <w:rPr>
                <w:color w:val="000000"/>
                <w:lang w:eastAsia="en-AU"/>
              </w:rPr>
            </w:pPr>
          </w:p>
        </w:tc>
        <w:tc>
          <w:tcPr>
            <w:tcW w:w="386" w:type="pct"/>
            <w:noWrap/>
          </w:tcPr>
          <w:p w14:paraId="565587C8" w14:textId="77777777" w:rsidR="005C670F" w:rsidRPr="00947197" w:rsidRDefault="005C670F" w:rsidP="00947197">
            <w:pPr>
              <w:pStyle w:val="Tabletext"/>
              <w:rPr>
                <w:lang w:eastAsia="en-AU"/>
              </w:rPr>
            </w:pPr>
          </w:p>
        </w:tc>
        <w:tc>
          <w:tcPr>
            <w:tcW w:w="688" w:type="pct"/>
            <w:gridSpan w:val="2"/>
          </w:tcPr>
          <w:p w14:paraId="2A46E72A" w14:textId="77777777" w:rsidR="005C670F" w:rsidRPr="00947197" w:rsidRDefault="005C670F" w:rsidP="00947197">
            <w:pPr>
              <w:pStyle w:val="Tabletext"/>
              <w:rPr>
                <w:lang w:eastAsia="en-AU"/>
              </w:rPr>
            </w:pPr>
          </w:p>
        </w:tc>
        <w:tc>
          <w:tcPr>
            <w:tcW w:w="560" w:type="pct"/>
          </w:tcPr>
          <w:p w14:paraId="7D1EF21F" w14:textId="77777777" w:rsidR="005C670F" w:rsidRPr="00947197" w:rsidRDefault="005C670F" w:rsidP="00947197">
            <w:pPr>
              <w:pStyle w:val="Tabletext"/>
              <w:rPr>
                <w:lang w:eastAsia="en-AU"/>
              </w:rPr>
            </w:pPr>
          </w:p>
        </w:tc>
        <w:tc>
          <w:tcPr>
            <w:tcW w:w="543" w:type="pct"/>
          </w:tcPr>
          <w:p w14:paraId="273B947C" w14:textId="77777777" w:rsidR="005C670F" w:rsidRPr="00947197" w:rsidRDefault="005C670F" w:rsidP="00947197">
            <w:pPr>
              <w:pStyle w:val="Tabletext"/>
              <w:rPr>
                <w:lang w:eastAsia="en-AU"/>
              </w:rPr>
            </w:pPr>
          </w:p>
        </w:tc>
        <w:tc>
          <w:tcPr>
            <w:tcW w:w="826" w:type="pct"/>
            <w:gridSpan w:val="4"/>
          </w:tcPr>
          <w:p w14:paraId="33BC3163" w14:textId="77777777" w:rsidR="005C670F" w:rsidRPr="00947197" w:rsidRDefault="005C670F" w:rsidP="00947197">
            <w:pPr>
              <w:pStyle w:val="Tabletext"/>
              <w:rPr>
                <w:lang w:eastAsia="en-AU"/>
              </w:rPr>
            </w:pPr>
            <w:r w:rsidRPr="00947197">
              <w:rPr>
                <w:lang w:eastAsia="en-AU"/>
              </w:rPr>
              <w:t>0.19***</w:t>
            </w:r>
          </w:p>
        </w:tc>
        <w:tc>
          <w:tcPr>
            <w:tcW w:w="452" w:type="pct"/>
          </w:tcPr>
          <w:p w14:paraId="55BF82B9" w14:textId="77777777" w:rsidR="005C670F" w:rsidRPr="00947197" w:rsidRDefault="005C670F" w:rsidP="00947197">
            <w:pPr>
              <w:pStyle w:val="Tabletext"/>
              <w:rPr>
                <w:lang w:eastAsia="en-AU"/>
              </w:rPr>
            </w:pPr>
            <w:r w:rsidRPr="00947197">
              <w:rPr>
                <w:lang w:eastAsia="en-AU"/>
              </w:rPr>
              <w:t>0.03</w:t>
            </w:r>
          </w:p>
        </w:tc>
      </w:tr>
      <w:tr w:rsidR="00947197" w:rsidRPr="00947197" w14:paraId="40CD7CD0" w14:textId="77777777" w:rsidTr="00D2715F">
        <w:trPr>
          <w:gridAfter w:val="2"/>
          <w:wAfter w:w="52" w:type="pct"/>
          <w:trHeight w:val="300"/>
        </w:trPr>
        <w:tc>
          <w:tcPr>
            <w:tcW w:w="1165" w:type="pct"/>
            <w:noWrap/>
          </w:tcPr>
          <w:p w14:paraId="33BE4DFB" w14:textId="77777777" w:rsidR="005C670F" w:rsidRPr="00947197" w:rsidRDefault="005C670F" w:rsidP="00947197">
            <w:pPr>
              <w:pStyle w:val="Tabletext"/>
              <w:rPr>
                <w:color w:val="000000"/>
                <w:lang w:eastAsia="en-AU"/>
              </w:rPr>
            </w:pPr>
            <w:r w:rsidRPr="00947197">
              <w:rPr>
                <w:color w:val="000000"/>
                <w:lang w:eastAsia="en-AU"/>
              </w:rPr>
              <w:t>Q2student *Q2school</w:t>
            </w:r>
          </w:p>
        </w:tc>
        <w:tc>
          <w:tcPr>
            <w:tcW w:w="328" w:type="pct"/>
            <w:noWrap/>
          </w:tcPr>
          <w:p w14:paraId="26C25BA5" w14:textId="77777777" w:rsidR="005C670F" w:rsidRPr="00947197" w:rsidRDefault="005C670F" w:rsidP="00947197">
            <w:pPr>
              <w:pStyle w:val="Tabletext"/>
              <w:rPr>
                <w:color w:val="000000"/>
                <w:lang w:eastAsia="en-AU"/>
              </w:rPr>
            </w:pPr>
          </w:p>
        </w:tc>
        <w:tc>
          <w:tcPr>
            <w:tcW w:w="386" w:type="pct"/>
            <w:noWrap/>
          </w:tcPr>
          <w:p w14:paraId="09428B08" w14:textId="77777777" w:rsidR="005C670F" w:rsidRPr="00947197" w:rsidRDefault="005C670F" w:rsidP="00947197">
            <w:pPr>
              <w:pStyle w:val="Tabletext"/>
              <w:rPr>
                <w:lang w:eastAsia="en-AU"/>
              </w:rPr>
            </w:pPr>
          </w:p>
        </w:tc>
        <w:tc>
          <w:tcPr>
            <w:tcW w:w="688" w:type="pct"/>
            <w:gridSpan w:val="2"/>
          </w:tcPr>
          <w:p w14:paraId="58DC6D53" w14:textId="77777777" w:rsidR="005C670F" w:rsidRPr="00947197" w:rsidRDefault="005C670F" w:rsidP="00947197">
            <w:pPr>
              <w:pStyle w:val="Tabletext"/>
              <w:rPr>
                <w:lang w:eastAsia="en-AU"/>
              </w:rPr>
            </w:pPr>
          </w:p>
        </w:tc>
        <w:tc>
          <w:tcPr>
            <w:tcW w:w="560" w:type="pct"/>
          </w:tcPr>
          <w:p w14:paraId="1B5AE491" w14:textId="77777777" w:rsidR="005C670F" w:rsidRPr="00947197" w:rsidRDefault="005C670F" w:rsidP="00947197">
            <w:pPr>
              <w:pStyle w:val="Tabletext"/>
              <w:rPr>
                <w:lang w:eastAsia="en-AU"/>
              </w:rPr>
            </w:pPr>
          </w:p>
        </w:tc>
        <w:tc>
          <w:tcPr>
            <w:tcW w:w="543" w:type="pct"/>
          </w:tcPr>
          <w:p w14:paraId="08FF593C" w14:textId="77777777" w:rsidR="005C670F" w:rsidRPr="00947197" w:rsidRDefault="005C670F" w:rsidP="00947197">
            <w:pPr>
              <w:pStyle w:val="Tabletext"/>
              <w:rPr>
                <w:lang w:eastAsia="en-AU"/>
              </w:rPr>
            </w:pPr>
          </w:p>
        </w:tc>
        <w:tc>
          <w:tcPr>
            <w:tcW w:w="826" w:type="pct"/>
            <w:gridSpan w:val="4"/>
          </w:tcPr>
          <w:p w14:paraId="470EFC02" w14:textId="77777777" w:rsidR="005C670F" w:rsidRPr="00947197" w:rsidRDefault="005C670F" w:rsidP="00947197">
            <w:pPr>
              <w:pStyle w:val="Tabletext"/>
              <w:rPr>
                <w:lang w:eastAsia="en-AU"/>
              </w:rPr>
            </w:pPr>
            <w:r w:rsidRPr="00947197">
              <w:rPr>
                <w:lang w:eastAsia="en-AU"/>
              </w:rPr>
              <w:t>0.18***</w:t>
            </w:r>
          </w:p>
        </w:tc>
        <w:tc>
          <w:tcPr>
            <w:tcW w:w="452" w:type="pct"/>
          </w:tcPr>
          <w:p w14:paraId="24E6AED2" w14:textId="77777777" w:rsidR="005C670F" w:rsidRPr="00947197" w:rsidRDefault="005C670F" w:rsidP="00947197">
            <w:pPr>
              <w:pStyle w:val="Tabletext"/>
              <w:rPr>
                <w:lang w:eastAsia="en-AU"/>
              </w:rPr>
            </w:pPr>
            <w:r w:rsidRPr="00947197">
              <w:rPr>
                <w:lang w:eastAsia="en-AU"/>
              </w:rPr>
              <w:t>0.03</w:t>
            </w:r>
          </w:p>
        </w:tc>
      </w:tr>
      <w:tr w:rsidR="00947197" w:rsidRPr="00947197" w14:paraId="71658318" w14:textId="77777777" w:rsidTr="00D2715F">
        <w:trPr>
          <w:gridAfter w:val="2"/>
          <w:wAfter w:w="52" w:type="pct"/>
          <w:trHeight w:val="300"/>
        </w:trPr>
        <w:tc>
          <w:tcPr>
            <w:tcW w:w="1165" w:type="pct"/>
            <w:noWrap/>
          </w:tcPr>
          <w:p w14:paraId="263A1F31" w14:textId="77777777" w:rsidR="005C670F" w:rsidRPr="00947197" w:rsidRDefault="005C670F" w:rsidP="00947197">
            <w:pPr>
              <w:pStyle w:val="Tabletext"/>
              <w:rPr>
                <w:color w:val="000000"/>
                <w:lang w:eastAsia="en-AU"/>
              </w:rPr>
            </w:pPr>
            <w:r w:rsidRPr="00947197">
              <w:rPr>
                <w:color w:val="000000"/>
                <w:lang w:eastAsia="en-AU"/>
              </w:rPr>
              <w:t>Q2student *Q3school</w:t>
            </w:r>
          </w:p>
        </w:tc>
        <w:tc>
          <w:tcPr>
            <w:tcW w:w="328" w:type="pct"/>
            <w:noWrap/>
            <w:hideMark/>
          </w:tcPr>
          <w:p w14:paraId="1ECB564C" w14:textId="77777777" w:rsidR="005C670F" w:rsidRPr="00947197" w:rsidRDefault="005C670F" w:rsidP="00947197">
            <w:pPr>
              <w:pStyle w:val="Tabletext"/>
              <w:rPr>
                <w:color w:val="000000"/>
                <w:lang w:eastAsia="en-AU"/>
              </w:rPr>
            </w:pPr>
          </w:p>
        </w:tc>
        <w:tc>
          <w:tcPr>
            <w:tcW w:w="386" w:type="pct"/>
            <w:noWrap/>
            <w:hideMark/>
          </w:tcPr>
          <w:p w14:paraId="79BA5DA0" w14:textId="77777777" w:rsidR="005C670F" w:rsidRPr="00947197" w:rsidRDefault="005C670F" w:rsidP="00947197">
            <w:pPr>
              <w:pStyle w:val="Tabletext"/>
              <w:rPr>
                <w:lang w:eastAsia="en-AU"/>
              </w:rPr>
            </w:pPr>
          </w:p>
        </w:tc>
        <w:tc>
          <w:tcPr>
            <w:tcW w:w="688" w:type="pct"/>
            <w:gridSpan w:val="2"/>
          </w:tcPr>
          <w:p w14:paraId="7DA6AFEB" w14:textId="77777777" w:rsidR="005C670F" w:rsidRPr="00947197" w:rsidRDefault="005C670F" w:rsidP="00947197">
            <w:pPr>
              <w:pStyle w:val="Tabletext"/>
              <w:rPr>
                <w:lang w:eastAsia="en-AU"/>
              </w:rPr>
            </w:pPr>
          </w:p>
        </w:tc>
        <w:tc>
          <w:tcPr>
            <w:tcW w:w="560" w:type="pct"/>
          </w:tcPr>
          <w:p w14:paraId="7EB7C0AE" w14:textId="77777777" w:rsidR="005C670F" w:rsidRPr="00947197" w:rsidRDefault="005C670F" w:rsidP="00947197">
            <w:pPr>
              <w:pStyle w:val="Tabletext"/>
              <w:rPr>
                <w:lang w:eastAsia="en-AU"/>
              </w:rPr>
            </w:pPr>
          </w:p>
        </w:tc>
        <w:tc>
          <w:tcPr>
            <w:tcW w:w="543" w:type="pct"/>
          </w:tcPr>
          <w:p w14:paraId="6A67CC38" w14:textId="77777777" w:rsidR="005C670F" w:rsidRPr="00947197" w:rsidRDefault="005C670F" w:rsidP="00947197">
            <w:pPr>
              <w:pStyle w:val="Tabletext"/>
              <w:rPr>
                <w:lang w:eastAsia="en-AU"/>
              </w:rPr>
            </w:pPr>
          </w:p>
        </w:tc>
        <w:tc>
          <w:tcPr>
            <w:tcW w:w="826" w:type="pct"/>
            <w:gridSpan w:val="4"/>
          </w:tcPr>
          <w:p w14:paraId="2B1267AC" w14:textId="77777777" w:rsidR="005C670F" w:rsidRPr="00947197" w:rsidRDefault="005C670F" w:rsidP="00947197">
            <w:pPr>
              <w:pStyle w:val="Tabletext"/>
              <w:rPr>
                <w:lang w:eastAsia="en-AU"/>
              </w:rPr>
            </w:pPr>
            <w:r w:rsidRPr="00947197">
              <w:rPr>
                <w:lang w:eastAsia="en-AU"/>
              </w:rPr>
              <w:t>0.34***</w:t>
            </w:r>
          </w:p>
        </w:tc>
        <w:tc>
          <w:tcPr>
            <w:tcW w:w="452" w:type="pct"/>
          </w:tcPr>
          <w:p w14:paraId="7C1FF777" w14:textId="77777777" w:rsidR="005C670F" w:rsidRPr="00947197" w:rsidRDefault="005C670F" w:rsidP="00947197">
            <w:pPr>
              <w:pStyle w:val="Tabletext"/>
              <w:rPr>
                <w:lang w:eastAsia="en-AU"/>
              </w:rPr>
            </w:pPr>
            <w:r w:rsidRPr="00947197">
              <w:rPr>
                <w:lang w:eastAsia="en-AU"/>
              </w:rPr>
              <w:t>0.05</w:t>
            </w:r>
          </w:p>
        </w:tc>
      </w:tr>
      <w:tr w:rsidR="00947197" w:rsidRPr="00947197" w14:paraId="7C5E72BB" w14:textId="77777777" w:rsidTr="00D2715F">
        <w:trPr>
          <w:gridAfter w:val="2"/>
          <w:wAfter w:w="52" w:type="pct"/>
          <w:trHeight w:val="300"/>
        </w:trPr>
        <w:tc>
          <w:tcPr>
            <w:tcW w:w="1165" w:type="pct"/>
            <w:noWrap/>
          </w:tcPr>
          <w:p w14:paraId="5E631B17" w14:textId="77777777" w:rsidR="005C670F" w:rsidRPr="00947197" w:rsidRDefault="005C670F" w:rsidP="00947197">
            <w:pPr>
              <w:pStyle w:val="Tabletext"/>
              <w:rPr>
                <w:color w:val="000000"/>
                <w:lang w:eastAsia="en-AU"/>
              </w:rPr>
            </w:pPr>
            <w:r w:rsidRPr="00947197">
              <w:rPr>
                <w:color w:val="000000"/>
                <w:lang w:eastAsia="en-AU"/>
              </w:rPr>
              <w:t>Q2student *Q4school</w:t>
            </w:r>
          </w:p>
        </w:tc>
        <w:tc>
          <w:tcPr>
            <w:tcW w:w="328" w:type="pct"/>
            <w:noWrap/>
            <w:hideMark/>
          </w:tcPr>
          <w:p w14:paraId="1B132670" w14:textId="77777777" w:rsidR="005C670F" w:rsidRPr="00947197" w:rsidRDefault="005C670F" w:rsidP="00947197">
            <w:pPr>
              <w:pStyle w:val="Tabletext"/>
              <w:rPr>
                <w:color w:val="000000"/>
                <w:lang w:eastAsia="en-AU"/>
              </w:rPr>
            </w:pPr>
          </w:p>
        </w:tc>
        <w:tc>
          <w:tcPr>
            <w:tcW w:w="386" w:type="pct"/>
            <w:noWrap/>
            <w:hideMark/>
          </w:tcPr>
          <w:p w14:paraId="48B64B70" w14:textId="77777777" w:rsidR="005C670F" w:rsidRPr="00947197" w:rsidRDefault="005C670F" w:rsidP="00947197">
            <w:pPr>
              <w:pStyle w:val="Tabletext"/>
              <w:rPr>
                <w:lang w:eastAsia="en-AU"/>
              </w:rPr>
            </w:pPr>
          </w:p>
        </w:tc>
        <w:tc>
          <w:tcPr>
            <w:tcW w:w="688" w:type="pct"/>
            <w:gridSpan w:val="2"/>
          </w:tcPr>
          <w:p w14:paraId="1478DCBC" w14:textId="77777777" w:rsidR="005C670F" w:rsidRPr="00947197" w:rsidRDefault="005C670F" w:rsidP="00947197">
            <w:pPr>
              <w:pStyle w:val="Tabletext"/>
              <w:rPr>
                <w:lang w:eastAsia="en-AU"/>
              </w:rPr>
            </w:pPr>
          </w:p>
        </w:tc>
        <w:tc>
          <w:tcPr>
            <w:tcW w:w="560" w:type="pct"/>
          </w:tcPr>
          <w:p w14:paraId="7BB8D1FD" w14:textId="77777777" w:rsidR="005C670F" w:rsidRPr="00947197" w:rsidRDefault="005C670F" w:rsidP="00947197">
            <w:pPr>
              <w:pStyle w:val="Tabletext"/>
              <w:rPr>
                <w:lang w:eastAsia="en-AU"/>
              </w:rPr>
            </w:pPr>
          </w:p>
        </w:tc>
        <w:tc>
          <w:tcPr>
            <w:tcW w:w="543" w:type="pct"/>
          </w:tcPr>
          <w:p w14:paraId="7C5CD1DD" w14:textId="77777777" w:rsidR="005C670F" w:rsidRPr="00947197" w:rsidRDefault="005C670F" w:rsidP="00947197">
            <w:pPr>
              <w:pStyle w:val="Tabletext"/>
              <w:rPr>
                <w:lang w:eastAsia="en-AU"/>
              </w:rPr>
            </w:pPr>
          </w:p>
        </w:tc>
        <w:tc>
          <w:tcPr>
            <w:tcW w:w="826" w:type="pct"/>
            <w:gridSpan w:val="4"/>
          </w:tcPr>
          <w:p w14:paraId="0FEC0E57" w14:textId="77777777" w:rsidR="005C670F" w:rsidRPr="00947197" w:rsidRDefault="005C670F" w:rsidP="00947197">
            <w:pPr>
              <w:pStyle w:val="Tabletext"/>
              <w:rPr>
                <w:lang w:eastAsia="en-AU"/>
              </w:rPr>
            </w:pPr>
            <w:r w:rsidRPr="00947197">
              <w:rPr>
                <w:lang w:eastAsia="en-AU"/>
              </w:rPr>
              <w:t>0.39***</w:t>
            </w:r>
          </w:p>
        </w:tc>
        <w:tc>
          <w:tcPr>
            <w:tcW w:w="452" w:type="pct"/>
          </w:tcPr>
          <w:p w14:paraId="6DEEC73D" w14:textId="77777777" w:rsidR="005C670F" w:rsidRPr="00947197" w:rsidRDefault="005C670F" w:rsidP="00947197">
            <w:pPr>
              <w:pStyle w:val="Tabletext"/>
              <w:rPr>
                <w:lang w:eastAsia="en-AU"/>
              </w:rPr>
            </w:pPr>
            <w:r w:rsidRPr="00947197">
              <w:rPr>
                <w:lang w:eastAsia="en-AU"/>
              </w:rPr>
              <w:t>0.08</w:t>
            </w:r>
          </w:p>
        </w:tc>
      </w:tr>
      <w:tr w:rsidR="00947197" w:rsidRPr="00947197" w14:paraId="27981138" w14:textId="77777777" w:rsidTr="00D2715F">
        <w:trPr>
          <w:gridAfter w:val="2"/>
          <w:wAfter w:w="52" w:type="pct"/>
          <w:trHeight w:val="300"/>
        </w:trPr>
        <w:tc>
          <w:tcPr>
            <w:tcW w:w="1165" w:type="pct"/>
            <w:noWrap/>
          </w:tcPr>
          <w:p w14:paraId="4E646EA3" w14:textId="77777777" w:rsidR="005C670F" w:rsidRPr="00947197" w:rsidRDefault="005C670F" w:rsidP="00947197">
            <w:pPr>
              <w:pStyle w:val="Tabletext"/>
              <w:rPr>
                <w:color w:val="000000"/>
                <w:lang w:eastAsia="en-AU"/>
              </w:rPr>
            </w:pPr>
            <w:r w:rsidRPr="00947197">
              <w:rPr>
                <w:color w:val="000000"/>
                <w:lang w:eastAsia="en-AU"/>
              </w:rPr>
              <w:t xml:space="preserve">Q3student *Q1school </w:t>
            </w:r>
          </w:p>
        </w:tc>
        <w:tc>
          <w:tcPr>
            <w:tcW w:w="328" w:type="pct"/>
            <w:noWrap/>
            <w:hideMark/>
          </w:tcPr>
          <w:p w14:paraId="7DF5430B" w14:textId="77777777" w:rsidR="005C670F" w:rsidRPr="00947197" w:rsidRDefault="005C670F" w:rsidP="00947197">
            <w:pPr>
              <w:pStyle w:val="Tabletext"/>
              <w:rPr>
                <w:color w:val="000000"/>
                <w:lang w:eastAsia="en-AU"/>
              </w:rPr>
            </w:pPr>
          </w:p>
        </w:tc>
        <w:tc>
          <w:tcPr>
            <w:tcW w:w="386" w:type="pct"/>
            <w:noWrap/>
            <w:hideMark/>
          </w:tcPr>
          <w:p w14:paraId="451A0969" w14:textId="77777777" w:rsidR="005C670F" w:rsidRPr="00947197" w:rsidRDefault="005C670F" w:rsidP="00947197">
            <w:pPr>
              <w:pStyle w:val="Tabletext"/>
              <w:rPr>
                <w:lang w:eastAsia="en-AU"/>
              </w:rPr>
            </w:pPr>
          </w:p>
        </w:tc>
        <w:tc>
          <w:tcPr>
            <w:tcW w:w="688" w:type="pct"/>
            <w:gridSpan w:val="2"/>
          </w:tcPr>
          <w:p w14:paraId="12E7EA46" w14:textId="77777777" w:rsidR="005C670F" w:rsidRPr="00947197" w:rsidRDefault="005C670F" w:rsidP="00947197">
            <w:pPr>
              <w:pStyle w:val="Tabletext"/>
              <w:rPr>
                <w:lang w:eastAsia="en-AU"/>
              </w:rPr>
            </w:pPr>
          </w:p>
        </w:tc>
        <w:tc>
          <w:tcPr>
            <w:tcW w:w="560" w:type="pct"/>
          </w:tcPr>
          <w:p w14:paraId="66132CD6" w14:textId="77777777" w:rsidR="005C670F" w:rsidRPr="00947197" w:rsidRDefault="005C670F" w:rsidP="00947197">
            <w:pPr>
              <w:pStyle w:val="Tabletext"/>
              <w:rPr>
                <w:lang w:eastAsia="en-AU"/>
              </w:rPr>
            </w:pPr>
          </w:p>
        </w:tc>
        <w:tc>
          <w:tcPr>
            <w:tcW w:w="543" w:type="pct"/>
          </w:tcPr>
          <w:p w14:paraId="08ABEA6F" w14:textId="77777777" w:rsidR="005C670F" w:rsidRPr="00947197" w:rsidRDefault="005C670F" w:rsidP="00947197">
            <w:pPr>
              <w:pStyle w:val="Tabletext"/>
              <w:rPr>
                <w:lang w:eastAsia="en-AU"/>
              </w:rPr>
            </w:pPr>
          </w:p>
        </w:tc>
        <w:tc>
          <w:tcPr>
            <w:tcW w:w="826" w:type="pct"/>
            <w:gridSpan w:val="4"/>
          </w:tcPr>
          <w:p w14:paraId="464D4BE3" w14:textId="77777777" w:rsidR="005C670F" w:rsidRPr="00947197" w:rsidRDefault="005C670F" w:rsidP="00947197">
            <w:pPr>
              <w:pStyle w:val="Tabletext"/>
              <w:rPr>
                <w:lang w:eastAsia="en-AU"/>
              </w:rPr>
            </w:pPr>
            <w:r w:rsidRPr="00947197">
              <w:rPr>
                <w:lang w:eastAsia="en-AU"/>
              </w:rPr>
              <w:t>0.31***</w:t>
            </w:r>
          </w:p>
        </w:tc>
        <w:tc>
          <w:tcPr>
            <w:tcW w:w="452" w:type="pct"/>
          </w:tcPr>
          <w:p w14:paraId="1E6519B6" w14:textId="77777777" w:rsidR="005C670F" w:rsidRPr="00947197" w:rsidRDefault="005C670F" w:rsidP="00947197">
            <w:pPr>
              <w:pStyle w:val="Tabletext"/>
              <w:rPr>
                <w:lang w:eastAsia="en-AU"/>
              </w:rPr>
            </w:pPr>
            <w:r w:rsidRPr="00947197">
              <w:rPr>
                <w:lang w:eastAsia="en-AU"/>
              </w:rPr>
              <w:t>0.06</w:t>
            </w:r>
          </w:p>
        </w:tc>
      </w:tr>
      <w:tr w:rsidR="00947197" w:rsidRPr="00947197" w14:paraId="1220D7DC" w14:textId="77777777" w:rsidTr="00D2715F">
        <w:trPr>
          <w:gridAfter w:val="2"/>
          <w:wAfter w:w="52" w:type="pct"/>
          <w:trHeight w:val="300"/>
        </w:trPr>
        <w:tc>
          <w:tcPr>
            <w:tcW w:w="1165" w:type="pct"/>
            <w:noWrap/>
          </w:tcPr>
          <w:p w14:paraId="0FD94A5E" w14:textId="77777777" w:rsidR="005C670F" w:rsidRPr="00947197" w:rsidRDefault="005C670F" w:rsidP="00947197">
            <w:pPr>
              <w:pStyle w:val="Tabletext"/>
              <w:rPr>
                <w:color w:val="000000"/>
                <w:lang w:eastAsia="en-AU"/>
              </w:rPr>
            </w:pPr>
            <w:r w:rsidRPr="00947197">
              <w:rPr>
                <w:color w:val="000000"/>
                <w:lang w:eastAsia="en-AU"/>
              </w:rPr>
              <w:t>Q3student *Q2school</w:t>
            </w:r>
          </w:p>
        </w:tc>
        <w:tc>
          <w:tcPr>
            <w:tcW w:w="328" w:type="pct"/>
            <w:noWrap/>
          </w:tcPr>
          <w:p w14:paraId="1E06B465" w14:textId="77777777" w:rsidR="005C670F" w:rsidRPr="00947197" w:rsidRDefault="005C670F" w:rsidP="00947197">
            <w:pPr>
              <w:pStyle w:val="Tabletext"/>
              <w:rPr>
                <w:color w:val="000000"/>
                <w:lang w:eastAsia="en-AU"/>
              </w:rPr>
            </w:pPr>
          </w:p>
        </w:tc>
        <w:tc>
          <w:tcPr>
            <w:tcW w:w="386" w:type="pct"/>
            <w:noWrap/>
          </w:tcPr>
          <w:p w14:paraId="02433BAB" w14:textId="77777777" w:rsidR="005C670F" w:rsidRPr="00947197" w:rsidRDefault="005C670F" w:rsidP="00947197">
            <w:pPr>
              <w:pStyle w:val="Tabletext"/>
              <w:rPr>
                <w:lang w:eastAsia="en-AU"/>
              </w:rPr>
            </w:pPr>
          </w:p>
        </w:tc>
        <w:tc>
          <w:tcPr>
            <w:tcW w:w="688" w:type="pct"/>
            <w:gridSpan w:val="2"/>
          </w:tcPr>
          <w:p w14:paraId="6854D2B4" w14:textId="77777777" w:rsidR="005C670F" w:rsidRPr="00947197" w:rsidRDefault="005C670F" w:rsidP="00947197">
            <w:pPr>
              <w:pStyle w:val="Tabletext"/>
              <w:rPr>
                <w:lang w:eastAsia="en-AU"/>
              </w:rPr>
            </w:pPr>
          </w:p>
        </w:tc>
        <w:tc>
          <w:tcPr>
            <w:tcW w:w="560" w:type="pct"/>
          </w:tcPr>
          <w:p w14:paraId="19243D74" w14:textId="77777777" w:rsidR="005C670F" w:rsidRPr="00947197" w:rsidRDefault="005C670F" w:rsidP="00947197">
            <w:pPr>
              <w:pStyle w:val="Tabletext"/>
              <w:rPr>
                <w:lang w:eastAsia="en-AU"/>
              </w:rPr>
            </w:pPr>
          </w:p>
        </w:tc>
        <w:tc>
          <w:tcPr>
            <w:tcW w:w="543" w:type="pct"/>
          </w:tcPr>
          <w:p w14:paraId="1E565180" w14:textId="77777777" w:rsidR="005C670F" w:rsidRPr="00947197" w:rsidRDefault="005C670F" w:rsidP="00947197">
            <w:pPr>
              <w:pStyle w:val="Tabletext"/>
              <w:rPr>
                <w:lang w:eastAsia="en-AU"/>
              </w:rPr>
            </w:pPr>
          </w:p>
        </w:tc>
        <w:tc>
          <w:tcPr>
            <w:tcW w:w="826" w:type="pct"/>
            <w:gridSpan w:val="4"/>
          </w:tcPr>
          <w:p w14:paraId="7081647A" w14:textId="77777777" w:rsidR="005C670F" w:rsidRPr="00947197" w:rsidRDefault="005C670F" w:rsidP="00947197">
            <w:pPr>
              <w:pStyle w:val="Tabletext"/>
              <w:rPr>
                <w:lang w:eastAsia="en-AU"/>
              </w:rPr>
            </w:pPr>
            <w:r w:rsidRPr="00947197">
              <w:rPr>
                <w:lang w:eastAsia="en-AU"/>
              </w:rPr>
              <w:t>0.32***</w:t>
            </w:r>
          </w:p>
        </w:tc>
        <w:tc>
          <w:tcPr>
            <w:tcW w:w="452" w:type="pct"/>
          </w:tcPr>
          <w:p w14:paraId="2EF89961" w14:textId="77777777" w:rsidR="005C670F" w:rsidRPr="00947197" w:rsidRDefault="005C670F" w:rsidP="00947197">
            <w:pPr>
              <w:pStyle w:val="Tabletext"/>
              <w:rPr>
                <w:lang w:eastAsia="en-AU"/>
              </w:rPr>
            </w:pPr>
            <w:r w:rsidRPr="00947197">
              <w:rPr>
                <w:lang w:eastAsia="en-AU"/>
              </w:rPr>
              <w:t>0.05</w:t>
            </w:r>
          </w:p>
        </w:tc>
      </w:tr>
      <w:tr w:rsidR="00947197" w:rsidRPr="00947197" w14:paraId="7A744BE7" w14:textId="77777777" w:rsidTr="00D2715F">
        <w:trPr>
          <w:gridAfter w:val="2"/>
          <w:wAfter w:w="52" w:type="pct"/>
          <w:trHeight w:val="300"/>
        </w:trPr>
        <w:tc>
          <w:tcPr>
            <w:tcW w:w="1165" w:type="pct"/>
            <w:noWrap/>
          </w:tcPr>
          <w:p w14:paraId="1105E08D" w14:textId="77777777" w:rsidR="005C670F" w:rsidRPr="00947197" w:rsidRDefault="005C670F" w:rsidP="00947197">
            <w:pPr>
              <w:pStyle w:val="Tabletext"/>
              <w:rPr>
                <w:color w:val="000000"/>
                <w:lang w:eastAsia="en-AU"/>
              </w:rPr>
            </w:pPr>
            <w:r w:rsidRPr="00947197">
              <w:rPr>
                <w:color w:val="000000"/>
                <w:lang w:eastAsia="en-AU"/>
              </w:rPr>
              <w:t>Q3student *Q3school</w:t>
            </w:r>
          </w:p>
        </w:tc>
        <w:tc>
          <w:tcPr>
            <w:tcW w:w="328" w:type="pct"/>
            <w:noWrap/>
          </w:tcPr>
          <w:p w14:paraId="29843B98" w14:textId="77777777" w:rsidR="005C670F" w:rsidRPr="00947197" w:rsidRDefault="005C670F" w:rsidP="00947197">
            <w:pPr>
              <w:pStyle w:val="Tabletext"/>
              <w:rPr>
                <w:color w:val="000000"/>
                <w:lang w:eastAsia="en-AU"/>
              </w:rPr>
            </w:pPr>
          </w:p>
        </w:tc>
        <w:tc>
          <w:tcPr>
            <w:tcW w:w="386" w:type="pct"/>
            <w:noWrap/>
          </w:tcPr>
          <w:p w14:paraId="50EEFCCD" w14:textId="77777777" w:rsidR="005C670F" w:rsidRPr="00947197" w:rsidRDefault="005C670F" w:rsidP="00947197">
            <w:pPr>
              <w:pStyle w:val="Tabletext"/>
              <w:rPr>
                <w:lang w:eastAsia="en-AU"/>
              </w:rPr>
            </w:pPr>
          </w:p>
        </w:tc>
        <w:tc>
          <w:tcPr>
            <w:tcW w:w="688" w:type="pct"/>
            <w:gridSpan w:val="2"/>
          </w:tcPr>
          <w:p w14:paraId="7B65225B" w14:textId="77777777" w:rsidR="005C670F" w:rsidRPr="00947197" w:rsidRDefault="005C670F" w:rsidP="00947197">
            <w:pPr>
              <w:pStyle w:val="Tabletext"/>
              <w:rPr>
                <w:lang w:eastAsia="en-AU"/>
              </w:rPr>
            </w:pPr>
          </w:p>
        </w:tc>
        <w:tc>
          <w:tcPr>
            <w:tcW w:w="560" w:type="pct"/>
          </w:tcPr>
          <w:p w14:paraId="71E3EDBF" w14:textId="77777777" w:rsidR="005C670F" w:rsidRPr="00947197" w:rsidRDefault="005C670F" w:rsidP="00947197">
            <w:pPr>
              <w:pStyle w:val="Tabletext"/>
              <w:rPr>
                <w:lang w:eastAsia="en-AU"/>
              </w:rPr>
            </w:pPr>
          </w:p>
        </w:tc>
        <w:tc>
          <w:tcPr>
            <w:tcW w:w="543" w:type="pct"/>
          </w:tcPr>
          <w:p w14:paraId="5024BFC8" w14:textId="77777777" w:rsidR="005C670F" w:rsidRPr="00947197" w:rsidRDefault="005C670F" w:rsidP="00947197">
            <w:pPr>
              <w:pStyle w:val="Tabletext"/>
              <w:rPr>
                <w:lang w:eastAsia="en-AU"/>
              </w:rPr>
            </w:pPr>
          </w:p>
        </w:tc>
        <w:tc>
          <w:tcPr>
            <w:tcW w:w="826" w:type="pct"/>
            <w:gridSpan w:val="4"/>
          </w:tcPr>
          <w:p w14:paraId="2CDE3E30" w14:textId="77777777" w:rsidR="005C670F" w:rsidRPr="00947197" w:rsidRDefault="005C670F" w:rsidP="00947197">
            <w:pPr>
              <w:pStyle w:val="Tabletext"/>
              <w:rPr>
                <w:lang w:eastAsia="en-AU"/>
              </w:rPr>
            </w:pPr>
            <w:r w:rsidRPr="00947197">
              <w:rPr>
                <w:lang w:eastAsia="en-AU"/>
              </w:rPr>
              <w:t>0.41***</w:t>
            </w:r>
          </w:p>
        </w:tc>
        <w:tc>
          <w:tcPr>
            <w:tcW w:w="452" w:type="pct"/>
          </w:tcPr>
          <w:p w14:paraId="65048BCE" w14:textId="77777777" w:rsidR="005C670F" w:rsidRPr="00947197" w:rsidRDefault="005C670F" w:rsidP="00947197">
            <w:pPr>
              <w:pStyle w:val="Tabletext"/>
              <w:rPr>
                <w:lang w:eastAsia="en-AU"/>
              </w:rPr>
            </w:pPr>
            <w:r w:rsidRPr="00947197">
              <w:rPr>
                <w:lang w:eastAsia="en-AU"/>
              </w:rPr>
              <w:t>0.06</w:t>
            </w:r>
          </w:p>
        </w:tc>
      </w:tr>
      <w:tr w:rsidR="00947197" w:rsidRPr="00947197" w14:paraId="23BDB7CA" w14:textId="77777777" w:rsidTr="00D2715F">
        <w:trPr>
          <w:gridAfter w:val="2"/>
          <w:wAfter w:w="52" w:type="pct"/>
          <w:trHeight w:val="300"/>
        </w:trPr>
        <w:tc>
          <w:tcPr>
            <w:tcW w:w="1165" w:type="pct"/>
            <w:noWrap/>
          </w:tcPr>
          <w:p w14:paraId="5A90D69A" w14:textId="77777777" w:rsidR="005C670F" w:rsidRPr="00947197" w:rsidRDefault="005C670F" w:rsidP="00947197">
            <w:pPr>
              <w:pStyle w:val="Tabletext"/>
              <w:rPr>
                <w:color w:val="000000"/>
                <w:lang w:eastAsia="en-AU"/>
              </w:rPr>
            </w:pPr>
            <w:r w:rsidRPr="00947197">
              <w:rPr>
                <w:color w:val="000000"/>
                <w:lang w:eastAsia="en-AU"/>
              </w:rPr>
              <w:t>Q3student *Q4school</w:t>
            </w:r>
          </w:p>
        </w:tc>
        <w:tc>
          <w:tcPr>
            <w:tcW w:w="328" w:type="pct"/>
            <w:noWrap/>
            <w:hideMark/>
          </w:tcPr>
          <w:p w14:paraId="0185AB30" w14:textId="77777777" w:rsidR="005C670F" w:rsidRPr="00947197" w:rsidRDefault="005C670F" w:rsidP="00947197">
            <w:pPr>
              <w:pStyle w:val="Tabletext"/>
              <w:rPr>
                <w:color w:val="000000"/>
                <w:lang w:eastAsia="en-AU"/>
              </w:rPr>
            </w:pPr>
          </w:p>
        </w:tc>
        <w:tc>
          <w:tcPr>
            <w:tcW w:w="386" w:type="pct"/>
            <w:noWrap/>
            <w:hideMark/>
          </w:tcPr>
          <w:p w14:paraId="000510BB" w14:textId="77777777" w:rsidR="005C670F" w:rsidRPr="00947197" w:rsidRDefault="005C670F" w:rsidP="00947197">
            <w:pPr>
              <w:pStyle w:val="Tabletext"/>
              <w:rPr>
                <w:lang w:eastAsia="en-AU"/>
              </w:rPr>
            </w:pPr>
          </w:p>
        </w:tc>
        <w:tc>
          <w:tcPr>
            <w:tcW w:w="688" w:type="pct"/>
            <w:gridSpan w:val="2"/>
          </w:tcPr>
          <w:p w14:paraId="5D5F8391" w14:textId="77777777" w:rsidR="005C670F" w:rsidRPr="00947197" w:rsidRDefault="005C670F" w:rsidP="00947197">
            <w:pPr>
              <w:pStyle w:val="Tabletext"/>
              <w:rPr>
                <w:lang w:eastAsia="en-AU"/>
              </w:rPr>
            </w:pPr>
          </w:p>
        </w:tc>
        <w:tc>
          <w:tcPr>
            <w:tcW w:w="560" w:type="pct"/>
          </w:tcPr>
          <w:p w14:paraId="34472867" w14:textId="77777777" w:rsidR="005C670F" w:rsidRPr="00947197" w:rsidRDefault="005C670F" w:rsidP="00947197">
            <w:pPr>
              <w:pStyle w:val="Tabletext"/>
              <w:rPr>
                <w:lang w:eastAsia="en-AU"/>
              </w:rPr>
            </w:pPr>
          </w:p>
        </w:tc>
        <w:tc>
          <w:tcPr>
            <w:tcW w:w="543" w:type="pct"/>
          </w:tcPr>
          <w:p w14:paraId="28E5D95A" w14:textId="77777777" w:rsidR="005C670F" w:rsidRPr="00947197" w:rsidRDefault="005C670F" w:rsidP="00947197">
            <w:pPr>
              <w:pStyle w:val="Tabletext"/>
              <w:rPr>
                <w:lang w:eastAsia="en-AU"/>
              </w:rPr>
            </w:pPr>
          </w:p>
        </w:tc>
        <w:tc>
          <w:tcPr>
            <w:tcW w:w="826" w:type="pct"/>
            <w:gridSpan w:val="4"/>
          </w:tcPr>
          <w:p w14:paraId="14D014AF" w14:textId="77777777" w:rsidR="005C670F" w:rsidRPr="00947197" w:rsidRDefault="005C670F" w:rsidP="00947197">
            <w:pPr>
              <w:pStyle w:val="Tabletext"/>
              <w:rPr>
                <w:lang w:eastAsia="en-AU"/>
              </w:rPr>
            </w:pPr>
            <w:r w:rsidRPr="00947197">
              <w:rPr>
                <w:lang w:eastAsia="en-AU"/>
              </w:rPr>
              <w:t>0.61***</w:t>
            </w:r>
          </w:p>
        </w:tc>
        <w:tc>
          <w:tcPr>
            <w:tcW w:w="452" w:type="pct"/>
          </w:tcPr>
          <w:p w14:paraId="0DB63FE4" w14:textId="77777777" w:rsidR="005C670F" w:rsidRPr="00947197" w:rsidRDefault="005C670F" w:rsidP="00947197">
            <w:pPr>
              <w:pStyle w:val="Tabletext"/>
              <w:rPr>
                <w:lang w:eastAsia="en-AU"/>
              </w:rPr>
            </w:pPr>
            <w:r w:rsidRPr="00947197">
              <w:rPr>
                <w:lang w:eastAsia="en-AU"/>
              </w:rPr>
              <w:t>0.09</w:t>
            </w:r>
          </w:p>
        </w:tc>
      </w:tr>
      <w:tr w:rsidR="00947197" w:rsidRPr="00947197" w14:paraId="2CA7E797" w14:textId="77777777" w:rsidTr="00D2715F">
        <w:trPr>
          <w:gridAfter w:val="2"/>
          <w:wAfter w:w="52" w:type="pct"/>
          <w:trHeight w:val="300"/>
        </w:trPr>
        <w:tc>
          <w:tcPr>
            <w:tcW w:w="1165" w:type="pct"/>
            <w:noWrap/>
          </w:tcPr>
          <w:p w14:paraId="40408F6F" w14:textId="77777777" w:rsidR="005C670F" w:rsidRPr="00947197" w:rsidRDefault="005C670F" w:rsidP="00947197">
            <w:pPr>
              <w:pStyle w:val="Tabletext"/>
              <w:rPr>
                <w:color w:val="000000"/>
                <w:lang w:eastAsia="en-AU"/>
              </w:rPr>
            </w:pPr>
            <w:r w:rsidRPr="00947197">
              <w:rPr>
                <w:color w:val="000000"/>
                <w:lang w:eastAsia="en-AU"/>
              </w:rPr>
              <w:t>Q4student *Q1school</w:t>
            </w:r>
          </w:p>
        </w:tc>
        <w:tc>
          <w:tcPr>
            <w:tcW w:w="328" w:type="pct"/>
            <w:noWrap/>
            <w:hideMark/>
          </w:tcPr>
          <w:p w14:paraId="07CB6101" w14:textId="77777777" w:rsidR="005C670F" w:rsidRPr="00947197" w:rsidRDefault="005C670F" w:rsidP="00947197">
            <w:pPr>
              <w:pStyle w:val="Tabletext"/>
              <w:rPr>
                <w:color w:val="000000"/>
                <w:lang w:eastAsia="en-AU"/>
              </w:rPr>
            </w:pPr>
          </w:p>
        </w:tc>
        <w:tc>
          <w:tcPr>
            <w:tcW w:w="386" w:type="pct"/>
            <w:noWrap/>
            <w:hideMark/>
          </w:tcPr>
          <w:p w14:paraId="20552860" w14:textId="77777777" w:rsidR="005C670F" w:rsidRPr="00947197" w:rsidRDefault="005C670F" w:rsidP="00947197">
            <w:pPr>
              <w:pStyle w:val="Tabletext"/>
              <w:rPr>
                <w:lang w:eastAsia="en-AU"/>
              </w:rPr>
            </w:pPr>
          </w:p>
        </w:tc>
        <w:tc>
          <w:tcPr>
            <w:tcW w:w="688" w:type="pct"/>
            <w:gridSpan w:val="2"/>
          </w:tcPr>
          <w:p w14:paraId="7DFAA983" w14:textId="77777777" w:rsidR="005C670F" w:rsidRPr="00947197" w:rsidRDefault="005C670F" w:rsidP="00947197">
            <w:pPr>
              <w:pStyle w:val="Tabletext"/>
              <w:rPr>
                <w:lang w:eastAsia="en-AU"/>
              </w:rPr>
            </w:pPr>
          </w:p>
        </w:tc>
        <w:tc>
          <w:tcPr>
            <w:tcW w:w="560" w:type="pct"/>
          </w:tcPr>
          <w:p w14:paraId="1446011A" w14:textId="77777777" w:rsidR="005C670F" w:rsidRPr="00947197" w:rsidRDefault="005C670F" w:rsidP="00947197">
            <w:pPr>
              <w:pStyle w:val="Tabletext"/>
              <w:rPr>
                <w:lang w:eastAsia="en-AU"/>
              </w:rPr>
            </w:pPr>
          </w:p>
        </w:tc>
        <w:tc>
          <w:tcPr>
            <w:tcW w:w="543" w:type="pct"/>
          </w:tcPr>
          <w:p w14:paraId="5CA4F552" w14:textId="77777777" w:rsidR="005C670F" w:rsidRPr="00947197" w:rsidRDefault="005C670F" w:rsidP="00947197">
            <w:pPr>
              <w:pStyle w:val="Tabletext"/>
              <w:rPr>
                <w:lang w:eastAsia="en-AU"/>
              </w:rPr>
            </w:pPr>
          </w:p>
        </w:tc>
        <w:tc>
          <w:tcPr>
            <w:tcW w:w="826" w:type="pct"/>
            <w:gridSpan w:val="4"/>
          </w:tcPr>
          <w:p w14:paraId="3F643171" w14:textId="77777777" w:rsidR="005C670F" w:rsidRPr="00947197" w:rsidRDefault="005C670F" w:rsidP="00947197">
            <w:pPr>
              <w:pStyle w:val="Tabletext"/>
              <w:rPr>
                <w:lang w:eastAsia="en-AU"/>
              </w:rPr>
            </w:pPr>
            <w:r w:rsidRPr="00947197">
              <w:rPr>
                <w:lang w:eastAsia="en-AU"/>
              </w:rPr>
              <w:t>0.50*</w:t>
            </w:r>
          </w:p>
        </w:tc>
        <w:tc>
          <w:tcPr>
            <w:tcW w:w="452" w:type="pct"/>
          </w:tcPr>
          <w:p w14:paraId="01C9900D" w14:textId="77777777" w:rsidR="005C670F" w:rsidRPr="00947197" w:rsidRDefault="005C670F" w:rsidP="00947197">
            <w:pPr>
              <w:pStyle w:val="Tabletext"/>
              <w:rPr>
                <w:lang w:eastAsia="en-AU"/>
              </w:rPr>
            </w:pPr>
            <w:r w:rsidRPr="00947197">
              <w:rPr>
                <w:lang w:eastAsia="en-AU"/>
              </w:rPr>
              <w:t>0.15</w:t>
            </w:r>
          </w:p>
        </w:tc>
      </w:tr>
      <w:tr w:rsidR="00947197" w:rsidRPr="00947197" w14:paraId="3D916EB3" w14:textId="77777777" w:rsidTr="00D2715F">
        <w:trPr>
          <w:gridAfter w:val="2"/>
          <w:wAfter w:w="52" w:type="pct"/>
          <w:trHeight w:val="300"/>
        </w:trPr>
        <w:tc>
          <w:tcPr>
            <w:tcW w:w="1165" w:type="pct"/>
            <w:noWrap/>
          </w:tcPr>
          <w:p w14:paraId="406C4D6C" w14:textId="77777777" w:rsidR="005C670F" w:rsidRPr="00947197" w:rsidRDefault="005C670F" w:rsidP="00947197">
            <w:pPr>
              <w:pStyle w:val="Tabletext"/>
              <w:rPr>
                <w:color w:val="000000"/>
                <w:lang w:eastAsia="en-AU"/>
              </w:rPr>
            </w:pPr>
            <w:r w:rsidRPr="00947197">
              <w:rPr>
                <w:color w:val="000000"/>
                <w:lang w:eastAsia="en-AU"/>
              </w:rPr>
              <w:t>Q4student *Q2school</w:t>
            </w:r>
          </w:p>
        </w:tc>
        <w:tc>
          <w:tcPr>
            <w:tcW w:w="328" w:type="pct"/>
            <w:noWrap/>
            <w:hideMark/>
          </w:tcPr>
          <w:p w14:paraId="15E2F03E" w14:textId="77777777" w:rsidR="005C670F" w:rsidRPr="00947197" w:rsidRDefault="005C670F" w:rsidP="00947197">
            <w:pPr>
              <w:pStyle w:val="Tabletext"/>
              <w:rPr>
                <w:color w:val="000000"/>
                <w:lang w:eastAsia="en-AU"/>
              </w:rPr>
            </w:pPr>
          </w:p>
        </w:tc>
        <w:tc>
          <w:tcPr>
            <w:tcW w:w="386" w:type="pct"/>
            <w:noWrap/>
            <w:hideMark/>
          </w:tcPr>
          <w:p w14:paraId="3E27435B" w14:textId="77777777" w:rsidR="005C670F" w:rsidRPr="00947197" w:rsidRDefault="005C670F" w:rsidP="00947197">
            <w:pPr>
              <w:pStyle w:val="Tabletext"/>
              <w:rPr>
                <w:lang w:eastAsia="en-AU"/>
              </w:rPr>
            </w:pPr>
          </w:p>
        </w:tc>
        <w:tc>
          <w:tcPr>
            <w:tcW w:w="688" w:type="pct"/>
            <w:gridSpan w:val="2"/>
          </w:tcPr>
          <w:p w14:paraId="034FC2D1" w14:textId="77777777" w:rsidR="005C670F" w:rsidRPr="00947197" w:rsidRDefault="005C670F" w:rsidP="00947197">
            <w:pPr>
              <w:pStyle w:val="Tabletext"/>
              <w:rPr>
                <w:lang w:eastAsia="en-AU"/>
              </w:rPr>
            </w:pPr>
          </w:p>
        </w:tc>
        <w:tc>
          <w:tcPr>
            <w:tcW w:w="560" w:type="pct"/>
          </w:tcPr>
          <w:p w14:paraId="25F18DB7" w14:textId="77777777" w:rsidR="005C670F" w:rsidRPr="00947197" w:rsidRDefault="005C670F" w:rsidP="00947197">
            <w:pPr>
              <w:pStyle w:val="Tabletext"/>
              <w:rPr>
                <w:lang w:eastAsia="en-AU"/>
              </w:rPr>
            </w:pPr>
          </w:p>
        </w:tc>
        <w:tc>
          <w:tcPr>
            <w:tcW w:w="543" w:type="pct"/>
          </w:tcPr>
          <w:p w14:paraId="3ED66B64" w14:textId="77777777" w:rsidR="005C670F" w:rsidRPr="00947197" w:rsidRDefault="005C670F" w:rsidP="00947197">
            <w:pPr>
              <w:pStyle w:val="Tabletext"/>
              <w:rPr>
                <w:lang w:eastAsia="en-AU"/>
              </w:rPr>
            </w:pPr>
          </w:p>
        </w:tc>
        <w:tc>
          <w:tcPr>
            <w:tcW w:w="826" w:type="pct"/>
            <w:gridSpan w:val="4"/>
          </w:tcPr>
          <w:p w14:paraId="42E2B7DD" w14:textId="77777777" w:rsidR="005C670F" w:rsidRPr="00947197" w:rsidRDefault="005C670F" w:rsidP="00947197">
            <w:pPr>
              <w:pStyle w:val="Tabletext"/>
              <w:rPr>
                <w:lang w:eastAsia="en-AU"/>
              </w:rPr>
            </w:pPr>
            <w:r w:rsidRPr="00947197">
              <w:rPr>
                <w:lang w:eastAsia="en-AU"/>
              </w:rPr>
              <w:t>0.40***</w:t>
            </w:r>
          </w:p>
        </w:tc>
        <w:tc>
          <w:tcPr>
            <w:tcW w:w="452" w:type="pct"/>
          </w:tcPr>
          <w:p w14:paraId="0EB47FA4" w14:textId="77777777" w:rsidR="005C670F" w:rsidRPr="00947197" w:rsidRDefault="005C670F" w:rsidP="00947197">
            <w:pPr>
              <w:pStyle w:val="Tabletext"/>
              <w:rPr>
                <w:lang w:eastAsia="en-AU"/>
              </w:rPr>
            </w:pPr>
            <w:r w:rsidRPr="00947197">
              <w:rPr>
                <w:lang w:eastAsia="en-AU"/>
              </w:rPr>
              <w:t>0.07</w:t>
            </w:r>
          </w:p>
        </w:tc>
      </w:tr>
      <w:tr w:rsidR="00947197" w:rsidRPr="00947197" w14:paraId="6FF1213C" w14:textId="77777777" w:rsidTr="00D2715F">
        <w:trPr>
          <w:gridAfter w:val="2"/>
          <w:wAfter w:w="52" w:type="pct"/>
          <w:trHeight w:val="300"/>
        </w:trPr>
        <w:tc>
          <w:tcPr>
            <w:tcW w:w="1165" w:type="pct"/>
            <w:noWrap/>
          </w:tcPr>
          <w:p w14:paraId="0F50A4BE" w14:textId="77777777" w:rsidR="005C670F" w:rsidRPr="00947197" w:rsidRDefault="005C670F" w:rsidP="00947197">
            <w:pPr>
              <w:pStyle w:val="Tabletext"/>
              <w:rPr>
                <w:color w:val="000000"/>
                <w:lang w:eastAsia="en-AU"/>
              </w:rPr>
            </w:pPr>
            <w:r w:rsidRPr="00947197">
              <w:rPr>
                <w:color w:val="000000"/>
                <w:lang w:eastAsia="en-AU"/>
              </w:rPr>
              <w:t>Q4student *Q3school</w:t>
            </w:r>
          </w:p>
        </w:tc>
        <w:tc>
          <w:tcPr>
            <w:tcW w:w="328" w:type="pct"/>
            <w:noWrap/>
          </w:tcPr>
          <w:p w14:paraId="23CCCD17" w14:textId="77777777" w:rsidR="005C670F" w:rsidRPr="00947197" w:rsidRDefault="005C670F" w:rsidP="00947197">
            <w:pPr>
              <w:pStyle w:val="Tabletext"/>
              <w:rPr>
                <w:color w:val="000000"/>
                <w:lang w:eastAsia="en-AU"/>
              </w:rPr>
            </w:pPr>
          </w:p>
        </w:tc>
        <w:tc>
          <w:tcPr>
            <w:tcW w:w="386" w:type="pct"/>
            <w:noWrap/>
          </w:tcPr>
          <w:p w14:paraId="02E4AA73" w14:textId="77777777" w:rsidR="005C670F" w:rsidRPr="00947197" w:rsidRDefault="005C670F" w:rsidP="00947197">
            <w:pPr>
              <w:pStyle w:val="Tabletext"/>
              <w:rPr>
                <w:lang w:eastAsia="en-AU"/>
              </w:rPr>
            </w:pPr>
          </w:p>
        </w:tc>
        <w:tc>
          <w:tcPr>
            <w:tcW w:w="688" w:type="pct"/>
            <w:gridSpan w:val="2"/>
          </w:tcPr>
          <w:p w14:paraId="196BAF02" w14:textId="77777777" w:rsidR="005C670F" w:rsidRPr="00947197" w:rsidRDefault="005C670F" w:rsidP="00947197">
            <w:pPr>
              <w:pStyle w:val="Tabletext"/>
              <w:rPr>
                <w:lang w:eastAsia="en-AU"/>
              </w:rPr>
            </w:pPr>
          </w:p>
        </w:tc>
        <w:tc>
          <w:tcPr>
            <w:tcW w:w="560" w:type="pct"/>
          </w:tcPr>
          <w:p w14:paraId="5325A02B" w14:textId="77777777" w:rsidR="005C670F" w:rsidRPr="00947197" w:rsidRDefault="005C670F" w:rsidP="00947197">
            <w:pPr>
              <w:pStyle w:val="Tabletext"/>
              <w:rPr>
                <w:lang w:eastAsia="en-AU"/>
              </w:rPr>
            </w:pPr>
          </w:p>
        </w:tc>
        <w:tc>
          <w:tcPr>
            <w:tcW w:w="543" w:type="pct"/>
          </w:tcPr>
          <w:p w14:paraId="657E6431" w14:textId="77777777" w:rsidR="005C670F" w:rsidRPr="00947197" w:rsidRDefault="005C670F" w:rsidP="00947197">
            <w:pPr>
              <w:pStyle w:val="Tabletext"/>
              <w:rPr>
                <w:lang w:eastAsia="en-AU"/>
              </w:rPr>
            </w:pPr>
          </w:p>
        </w:tc>
        <w:tc>
          <w:tcPr>
            <w:tcW w:w="826" w:type="pct"/>
            <w:gridSpan w:val="4"/>
          </w:tcPr>
          <w:p w14:paraId="3CD68C16" w14:textId="77777777" w:rsidR="005C670F" w:rsidRPr="00947197" w:rsidRDefault="005C670F" w:rsidP="00947197">
            <w:pPr>
              <w:pStyle w:val="Tabletext"/>
              <w:rPr>
                <w:lang w:eastAsia="en-AU"/>
              </w:rPr>
            </w:pPr>
            <w:r w:rsidRPr="00947197">
              <w:rPr>
                <w:lang w:eastAsia="en-AU"/>
              </w:rPr>
              <w:t>0.44***</w:t>
            </w:r>
          </w:p>
        </w:tc>
        <w:tc>
          <w:tcPr>
            <w:tcW w:w="452" w:type="pct"/>
          </w:tcPr>
          <w:p w14:paraId="0DC8EB22" w14:textId="77777777" w:rsidR="005C670F" w:rsidRPr="00947197" w:rsidRDefault="005C670F" w:rsidP="00947197">
            <w:pPr>
              <w:pStyle w:val="Tabletext"/>
              <w:rPr>
                <w:lang w:eastAsia="en-AU"/>
              </w:rPr>
            </w:pPr>
            <w:r w:rsidRPr="00947197">
              <w:rPr>
                <w:lang w:eastAsia="en-AU"/>
              </w:rPr>
              <w:t>0.07</w:t>
            </w:r>
          </w:p>
        </w:tc>
      </w:tr>
      <w:tr w:rsidR="00947197" w:rsidRPr="00947197" w14:paraId="5AA33B2F" w14:textId="77777777" w:rsidTr="00D2715F">
        <w:trPr>
          <w:gridAfter w:val="2"/>
          <w:wAfter w:w="52" w:type="pct"/>
          <w:trHeight w:val="300"/>
        </w:trPr>
        <w:tc>
          <w:tcPr>
            <w:tcW w:w="1165" w:type="pct"/>
            <w:noWrap/>
          </w:tcPr>
          <w:p w14:paraId="1094E93F" w14:textId="77777777" w:rsidR="005C670F" w:rsidRPr="00947197" w:rsidRDefault="005C670F" w:rsidP="00947197">
            <w:pPr>
              <w:pStyle w:val="Tabletext"/>
              <w:rPr>
                <w:b/>
                <w:color w:val="000000"/>
                <w:lang w:eastAsia="en-AU"/>
              </w:rPr>
            </w:pPr>
            <w:r w:rsidRPr="00947197">
              <w:rPr>
                <w:b/>
                <w:color w:val="000000"/>
                <w:lang w:eastAsia="en-AU"/>
              </w:rPr>
              <w:lastRenderedPageBreak/>
              <w:t>Sector</w:t>
            </w:r>
          </w:p>
        </w:tc>
        <w:tc>
          <w:tcPr>
            <w:tcW w:w="328" w:type="pct"/>
            <w:noWrap/>
          </w:tcPr>
          <w:p w14:paraId="3BC4BF79" w14:textId="77777777" w:rsidR="005C670F" w:rsidRPr="00947197" w:rsidRDefault="005C670F" w:rsidP="00947197">
            <w:pPr>
              <w:pStyle w:val="Tabletext"/>
              <w:rPr>
                <w:color w:val="000000"/>
                <w:lang w:eastAsia="en-AU"/>
              </w:rPr>
            </w:pPr>
          </w:p>
        </w:tc>
        <w:tc>
          <w:tcPr>
            <w:tcW w:w="386" w:type="pct"/>
            <w:noWrap/>
          </w:tcPr>
          <w:p w14:paraId="05F25788" w14:textId="77777777" w:rsidR="005C670F" w:rsidRPr="00947197" w:rsidRDefault="005C670F" w:rsidP="00947197">
            <w:pPr>
              <w:pStyle w:val="Tabletext"/>
              <w:rPr>
                <w:lang w:eastAsia="en-AU"/>
              </w:rPr>
            </w:pPr>
          </w:p>
        </w:tc>
        <w:tc>
          <w:tcPr>
            <w:tcW w:w="688" w:type="pct"/>
            <w:gridSpan w:val="2"/>
          </w:tcPr>
          <w:p w14:paraId="3D14B654" w14:textId="77777777" w:rsidR="005C670F" w:rsidRPr="00947197" w:rsidRDefault="005C670F" w:rsidP="00947197">
            <w:pPr>
              <w:pStyle w:val="Tabletext"/>
              <w:rPr>
                <w:lang w:eastAsia="en-AU"/>
              </w:rPr>
            </w:pPr>
          </w:p>
        </w:tc>
        <w:tc>
          <w:tcPr>
            <w:tcW w:w="560" w:type="pct"/>
          </w:tcPr>
          <w:p w14:paraId="5EA377A6" w14:textId="77777777" w:rsidR="005C670F" w:rsidRPr="00947197" w:rsidRDefault="005C670F" w:rsidP="00947197">
            <w:pPr>
              <w:pStyle w:val="Tabletext"/>
              <w:rPr>
                <w:lang w:eastAsia="en-AU"/>
              </w:rPr>
            </w:pPr>
          </w:p>
        </w:tc>
        <w:tc>
          <w:tcPr>
            <w:tcW w:w="543" w:type="pct"/>
          </w:tcPr>
          <w:p w14:paraId="403211EB" w14:textId="77777777" w:rsidR="005C670F" w:rsidRPr="00947197" w:rsidRDefault="005C670F" w:rsidP="00947197">
            <w:pPr>
              <w:pStyle w:val="Tabletext"/>
              <w:rPr>
                <w:lang w:eastAsia="en-AU"/>
              </w:rPr>
            </w:pPr>
          </w:p>
        </w:tc>
        <w:tc>
          <w:tcPr>
            <w:tcW w:w="826" w:type="pct"/>
            <w:gridSpan w:val="4"/>
          </w:tcPr>
          <w:p w14:paraId="5BE62C73" w14:textId="77777777" w:rsidR="005C670F" w:rsidRPr="00947197" w:rsidRDefault="005C670F" w:rsidP="00947197">
            <w:pPr>
              <w:pStyle w:val="Tabletext"/>
              <w:rPr>
                <w:lang w:eastAsia="en-AU"/>
              </w:rPr>
            </w:pPr>
          </w:p>
        </w:tc>
        <w:tc>
          <w:tcPr>
            <w:tcW w:w="452" w:type="pct"/>
          </w:tcPr>
          <w:p w14:paraId="28442DF1" w14:textId="77777777" w:rsidR="005C670F" w:rsidRPr="00947197" w:rsidRDefault="005C670F" w:rsidP="00947197">
            <w:pPr>
              <w:pStyle w:val="Tabletext"/>
              <w:rPr>
                <w:lang w:eastAsia="en-AU"/>
              </w:rPr>
            </w:pPr>
          </w:p>
        </w:tc>
      </w:tr>
      <w:tr w:rsidR="00947197" w:rsidRPr="00947197" w14:paraId="46E8EAF6" w14:textId="77777777" w:rsidTr="00D2715F">
        <w:trPr>
          <w:gridAfter w:val="2"/>
          <w:wAfter w:w="52" w:type="pct"/>
          <w:trHeight w:val="300"/>
        </w:trPr>
        <w:tc>
          <w:tcPr>
            <w:tcW w:w="1165" w:type="pct"/>
            <w:noWrap/>
          </w:tcPr>
          <w:p w14:paraId="43226299" w14:textId="77777777" w:rsidR="005C670F" w:rsidRPr="00947197" w:rsidRDefault="005C670F" w:rsidP="00947197">
            <w:pPr>
              <w:pStyle w:val="Tabletext"/>
              <w:rPr>
                <w:color w:val="000000"/>
                <w:lang w:eastAsia="en-AU"/>
              </w:rPr>
            </w:pPr>
            <w:r w:rsidRPr="00947197">
              <w:rPr>
                <w:color w:val="000000"/>
                <w:lang w:eastAsia="en-AU"/>
              </w:rPr>
              <w:t>Government (ref.)</w:t>
            </w:r>
          </w:p>
        </w:tc>
        <w:tc>
          <w:tcPr>
            <w:tcW w:w="328" w:type="pct"/>
            <w:noWrap/>
          </w:tcPr>
          <w:p w14:paraId="192D7056" w14:textId="77777777" w:rsidR="005C670F" w:rsidRPr="00947197" w:rsidRDefault="005C670F" w:rsidP="00947197">
            <w:pPr>
              <w:pStyle w:val="Tabletext"/>
              <w:rPr>
                <w:color w:val="000000"/>
                <w:lang w:eastAsia="en-AU"/>
              </w:rPr>
            </w:pPr>
          </w:p>
        </w:tc>
        <w:tc>
          <w:tcPr>
            <w:tcW w:w="386" w:type="pct"/>
            <w:noWrap/>
          </w:tcPr>
          <w:p w14:paraId="7F3B442B" w14:textId="77777777" w:rsidR="005C670F" w:rsidRPr="00947197" w:rsidRDefault="005C670F" w:rsidP="00947197">
            <w:pPr>
              <w:pStyle w:val="Tabletext"/>
              <w:rPr>
                <w:lang w:eastAsia="en-AU"/>
              </w:rPr>
            </w:pPr>
          </w:p>
        </w:tc>
        <w:tc>
          <w:tcPr>
            <w:tcW w:w="534" w:type="pct"/>
          </w:tcPr>
          <w:p w14:paraId="1FB316EA" w14:textId="77777777" w:rsidR="005C670F" w:rsidRPr="00947197" w:rsidRDefault="005C670F" w:rsidP="00947197">
            <w:pPr>
              <w:pStyle w:val="Tabletext"/>
              <w:rPr>
                <w:lang w:eastAsia="en-AU"/>
              </w:rPr>
            </w:pPr>
          </w:p>
        </w:tc>
        <w:tc>
          <w:tcPr>
            <w:tcW w:w="714" w:type="pct"/>
            <w:gridSpan w:val="2"/>
          </w:tcPr>
          <w:p w14:paraId="3482DB10" w14:textId="77777777" w:rsidR="005C670F" w:rsidRPr="00947197" w:rsidRDefault="005C670F" w:rsidP="00947197">
            <w:pPr>
              <w:pStyle w:val="Tabletext"/>
              <w:rPr>
                <w:lang w:eastAsia="en-AU"/>
              </w:rPr>
            </w:pPr>
          </w:p>
        </w:tc>
        <w:tc>
          <w:tcPr>
            <w:tcW w:w="543" w:type="pct"/>
          </w:tcPr>
          <w:p w14:paraId="1B1AB64D" w14:textId="77777777" w:rsidR="005C670F" w:rsidRPr="00947197" w:rsidRDefault="005C670F" w:rsidP="00947197">
            <w:pPr>
              <w:pStyle w:val="Tabletext"/>
              <w:rPr>
                <w:lang w:eastAsia="en-AU"/>
              </w:rPr>
            </w:pPr>
          </w:p>
        </w:tc>
        <w:tc>
          <w:tcPr>
            <w:tcW w:w="826" w:type="pct"/>
            <w:gridSpan w:val="4"/>
          </w:tcPr>
          <w:p w14:paraId="6AD0785E" w14:textId="77777777" w:rsidR="005C670F" w:rsidRPr="00947197" w:rsidRDefault="005C670F" w:rsidP="00947197">
            <w:pPr>
              <w:pStyle w:val="Tabletext"/>
              <w:rPr>
                <w:lang w:eastAsia="en-AU"/>
              </w:rPr>
            </w:pPr>
          </w:p>
        </w:tc>
        <w:tc>
          <w:tcPr>
            <w:tcW w:w="452" w:type="pct"/>
          </w:tcPr>
          <w:p w14:paraId="5AA6AA87" w14:textId="77777777" w:rsidR="005C670F" w:rsidRPr="00947197" w:rsidRDefault="005C670F" w:rsidP="00947197">
            <w:pPr>
              <w:pStyle w:val="Tabletext"/>
              <w:rPr>
                <w:lang w:eastAsia="en-AU"/>
              </w:rPr>
            </w:pPr>
          </w:p>
        </w:tc>
      </w:tr>
      <w:tr w:rsidR="00947197" w:rsidRPr="00947197" w14:paraId="49CA4097" w14:textId="77777777" w:rsidTr="00D2715F">
        <w:trPr>
          <w:gridAfter w:val="2"/>
          <w:wAfter w:w="52" w:type="pct"/>
          <w:trHeight w:val="300"/>
        </w:trPr>
        <w:tc>
          <w:tcPr>
            <w:tcW w:w="1165" w:type="pct"/>
            <w:noWrap/>
          </w:tcPr>
          <w:p w14:paraId="708ACB1D" w14:textId="77777777" w:rsidR="005C670F" w:rsidRPr="00947197" w:rsidRDefault="005C670F" w:rsidP="00947197">
            <w:pPr>
              <w:pStyle w:val="Tabletext"/>
              <w:rPr>
                <w:color w:val="000000"/>
                <w:lang w:eastAsia="en-AU"/>
              </w:rPr>
            </w:pPr>
            <w:r w:rsidRPr="00947197">
              <w:rPr>
                <w:color w:val="000000"/>
                <w:lang w:eastAsia="en-AU"/>
              </w:rPr>
              <w:t xml:space="preserve">Catholic </w:t>
            </w:r>
          </w:p>
        </w:tc>
        <w:tc>
          <w:tcPr>
            <w:tcW w:w="328" w:type="pct"/>
            <w:noWrap/>
            <w:hideMark/>
          </w:tcPr>
          <w:p w14:paraId="179EF905" w14:textId="77777777" w:rsidR="005C670F" w:rsidRPr="00947197" w:rsidRDefault="005C670F" w:rsidP="00947197">
            <w:pPr>
              <w:pStyle w:val="Tabletext"/>
              <w:rPr>
                <w:color w:val="000000"/>
                <w:lang w:eastAsia="en-AU"/>
              </w:rPr>
            </w:pPr>
          </w:p>
        </w:tc>
        <w:tc>
          <w:tcPr>
            <w:tcW w:w="386" w:type="pct"/>
            <w:noWrap/>
            <w:hideMark/>
          </w:tcPr>
          <w:p w14:paraId="48C3F46E" w14:textId="77777777" w:rsidR="005C670F" w:rsidRPr="00947197" w:rsidRDefault="005C670F" w:rsidP="00947197">
            <w:pPr>
              <w:pStyle w:val="Tabletext"/>
              <w:rPr>
                <w:lang w:eastAsia="en-AU"/>
              </w:rPr>
            </w:pPr>
          </w:p>
        </w:tc>
        <w:tc>
          <w:tcPr>
            <w:tcW w:w="534" w:type="pct"/>
          </w:tcPr>
          <w:p w14:paraId="208501F8" w14:textId="77777777" w:rsidR="005C670F" w:rsidRPr="00947197" w:rsidRDefault="005C670F" w:rsidP="00947197">
            <w:pPr>
              <w:pStyle w:val="Tabletext"/>
              <w:rPr>
                <w:lang w:eastAsia="en-AU"/>
              </w:rPr>
            </w:pPr>
          </w:p>
        </w:tc>
        <w:tc>
          <w:tcPr>
            <w:tcW w:w="714" w:type="pct"/>
            <w:gridSpan w:val="2"/>
          </w:tcPr>
          <w:p w14:paraId="29A9510D" w14:textId="77777777" w:rsidR="005C670F" w:rsidRPr="00947197" w:rsidRDefault="005C670F" w:rsidP="00947197">
            <w:pPr>
              <w:pStyle w:val="Tabletext"/>
              <w:rPr>
                <w:lang w:eastAsia="en-AU"/>
              </w:rPr>
            </w:pPr>
            <w:r w:rsidRPr="00947197">
              <w:rPr>
                <w:lang w:eastAsia="en-AU"/>
              </w:rPr>
              <w:t>1.24</w:t>
            </w:r>
          </w:p>
        </w:tc>
        <w:tc>
          <w:tcPr>
            <w:tcW w:w="543" w:type="pct"/>
          </w:tcPr>
          <w:p w14:paraId="5F971DE9" w14:textId="77777777" w:rsidR="005C670F" w:rsidRPr="00947197" w:rsidRDefault="005C670F" w:rsidP="00947197">
            <w:pPr>
              <w:pStyle w:val="Tabletext"/>
              <w:rPr>
                <w:lang w:eastAsia="en-AU"/>
              </w:rPr>
            </w:pPr>
            <w:r w:rsidRPr="00947197">
              <w:rPr>
                <w:lang w:eastAsia="en-AU"/>
              </w:rPr>
              <w:t>0.15</w:t>
            </w:r>
          </w:p>
        </w:tc>
        <w:tc>
          <w:tcPr>
            <w:tcW w:w="826" w:type="pct"/>
            <w:gridSpan w:val="4"/>
          </w:tcPr>
          <w:p w14:paraId="43636AB5" w14:textId="77777777" w:rsidR="005C670F" w:rsidRPr="00947197" w:rsidRDefault="005C670F" w:rsidP="00947197">
            <w:pPr>
              <w:pStyle w:val="Tabletext"/>
              <w:rPr>
                <w:lang w:eastAsia="en-AU"/>
              </w:rPr>
            </w:pPr>
            <w:r w:rsidRPr="00947197">
              <w:rPr>
                <w:lang w:eastAsia="en-AU"/>
              </w:rPr>
              <w:t>1.26</w:t>
            </w:r>
          </w:p>
        </w:tc>
        <w:tc>
          <w:tcPr>
            <w:tcW w:w="452" w:type="pct"/>
          </w:tcPr>
          <w:p w14:paraId="58016D48" w14:textId="77777777" w:rsidR="005C670F" w:rsidRPr="00947197" w:rsidRDefault="005C670F" w:rsidP="00947197">
            <w:pPr>
              <w:pStyle w:val="Tabletext"/>
              <w:rPr>
                <w:lang w:eastAsia="en-AU"/>
              </w:rPr>
            </w:pPr>
            <w:r w:rsidRPr="00947197">
              <w:rPr>
                <w:lang w:eastAsia="en-AU"/>
              </w:rPr>
              <w:t>0.15</w:t>
            </w:r>
          </w:p>
        </w:tc>
      </w:tr>
      <w:tr w:rsidR="00947197" w:rsidRPr="00947197" w14:paraId="62069898" w14:textId="77777777" w:rsidTr="00D2715F">
        <w:trPr>
          <w:gridAfter w:val="2"/>
          <w:wAfter w:w="52" w:type="pct"/>
          <w:trHeight w:val="300"/>
        </w:trPr>
        <w:tc>
          <w:tcPr>
            <w:tcW w:w="1165" w:type="pct"/>
            <w:noWrap/>
          </w:tcPr>
          <w:p w14:paraId="6F1CCE19" w14:textId="77777777" w:rsidR="005C670F" w:rsidRPr="00947197" w:rsidRDefault="005C670F" w:rsidP="00947197">
            <w:pPr>
              <w:pStyle w:val="Tabletext"/>
              <w:rPr>
                <w:color w:val="000000"/>
                <w:lang w:eastAsia="en-AU"/>
              </w:rPr>
            </w:pPr>
            <w:r w:rsidRPr="00947197">
              <w:rPr>
                <w:color w:val="000000"/>
                <w:lang w:eastAsia="en-AU"/>
              </w:rPr>
              <w:t xml:space="preserve">Independent </w:t>
            </w:r>
          </w:p>
        </w:tc>
        <w:tc>
          <w:tcPr>
            <w:tcW w:w="328" w:type="pct"/>
            <w:noWrap/>
            <w:hideMark/>
          </w:tcPr>
          <w:p w14:paraId="3F1B8ED7" w14:textId="77777777" w:rsidR="005C670F" w:rsidRPr="00947197" w:rsidRDefault="005C670F" w:rsidP="00947197">
            <w:pPr>
              <w:pStyle w:val="Tabletext"/>
              <w:rPr>
                <w:color w:val="000000"/>
                <w:lang w:eastAsia="en-AU"/>
              </w:rPr>
            </w:pPr>
          </w:p>
        </w:tc>
        <w:tc>
          <w:tcPr>
            <w:tcW w:w="386" w:type="pct"/>
            <w:noWrap/>
            <w:hideMark/>
          </w:tcPr>
          <w:p w14:paraId="1F43AE64" w14:textId="77777777" w:rsidR="005C670F" w:rsidRPr="00947197" w:rsidRDefault="005C670F" w:rsidP="00947197">
            <w:pPr>
              <w:pStyle w:val="Tabletext"/>
              <w:rPr>
                <w:lang w:eastAsia="en-AU"/>
              </w:rPr>
            </w:pPr>
          </w:p>
        </w:tc>
        <w:tc>
          <w:tcPr>
            <w:tcW w:w="534" w:type="pct"/>
          </w:tcPr>
          <w:p w14:paraId="0285F578" w14:textId="77777777" w:rsidR="005C670F" w:rsidRPr="00947197" w:rsidRDefault="005C670F" w:rsidP="00947197">
            <w:pPr>
              <w:pStyle w:val="Tabletext"/>
              <w:rPr>
                <w:lang w:eastAsia="en-AU"/>
              </w:rPr>
            </w:pPr>
          </w:p>
        </w:tc>
        <w:tc>
          <w:tcPr>
            <w:tcW w:w="714" w:type="pct"/>
            <w:gridSpan w:val="2"/>
          </w:tcPr>
          <w:p w14:paraId="6826A67A" w14:textId="77777777" w:rsidR="005C670F" w:rsidRPr="00947197" w:rsidRDefault="005C670F" w:rsidP="00947197">
            <w:pPr>
              <w:pStyle w:val="Tabletext"/>
              <w:rPr>
                <w:lang w:eastAsia="en-AU"/>
              </w:rPr>
            </w:pPr>
            <w:r w:rsidRPr="00947197">
              <w:rPr>
                <w:lang w:eastAsia="en-AU"/>
              </w:rPr>
              <w:t>1.12</w:t>
            </w:r>
          </w:p>
        </w:tc>
        <w:tc>
          <w:tcPr>
            <w:tcW w:w="543" w:type="pct"/>
          </w:tcPr>
          <w:p w14:paraId="2DCD84C5" w14:textId="77777777" w:rsidR="005C670F" w:rsidRPr="00947197" w:rsidRDefault="005C670F" w:rsidP="00947197">
            <w:pPr>
              <w:pStyle w:val="Tabletext"/>
              <w:rPr>
                <w:lang w:eastAsia="en-AU"/>
              </w:rPr>
            </w:pPr>
            <w:r w:rsidRPr="00947197">
              <w:rPr>
                <w:lang w:eastAsia="en-AU"/>
              </w:rPr>
              <w:t>0.14</w:t>
            </w:r>
          </w:p>
        </w:tc>
        <w:tc>
          <w:tcPr>
            <w:tcW w:w="826" w:type="pct"/>
            <w:gridSpan w:val="4"/>
          </w:tcPr>
          <w:p w14:paraId="406B3A01" w14:textId="77777777" w:rsidR="005C670F" w:rsidRPr="00947197" w:rsidRDefault="005C670F" w:rsidP="00947197">
            <w:pPr>
              <w:pStyle w:val="Tabletext"/>
              <w:rPr>
                <w:lang w:eastAsia="en-AU"/>
              </w:rPr>
            </w:pPr>
            <w:r w:rsidRPr="00947197">
              <w:rPr>
                <w:lang w:eastAsia="en-AU"/>
              </w:rPr>
              <w:t>1.06</w:t>
            </w:r>
          </w:p>
        </w:tc>
        <w:tc>
          <w:tcPr>
            <w:tcW w:w="452" w:type="pct"/>
          </w:tcPr>
          <w:p w14:paraId="6C9D1A4B" w14:textId="77777777" w:rsidR="005C670F" w:rsidRPr="00947197" w:rsidRDefault="005C670F" w:rsidP="00947197">
            <w:pPr>
              <w:pStyle w:val="Tabletext"/>
              <w:rPr>
                <w:lang w:eastAsia="en-AU"/>
              </w:rPr>
            </w:pPr>
            <w:r w:rsidRPr="00947197">
              <w:rPr>
                <w:lang w:eastAsia="en-AU"/>
              </w:rPr>
              <w:t>0.13</w:t>
            </w:r>
          </w:p>
        </w:tc>
      </w:tr>
      <w:tr w:rsidR="00947197" w:rsidRPr="00947197" w14:paraId="2CBB2DE2" w14:textId="77777777" w:rsidTr="00D2715F">
        <w:trPr>
          <w:gridAfter w:val="2"/>
          <w:wAfter w:w="52" w:type="pct"/>
          <w:trHeight w:val="300"/>
        </w:trPr>
        <w:tc>
          <w:tcPr>
            <w:tcW w:w="1165" w:type="pct"/>
            <w:noWrap/>
            <w:hideMark/>
          </w:tcPr>
          <w:p w14:paraId="3218E80B" w14:textId="77777777" w:rsidR="005C670F" w:rsidRPr="00947197" w:rsidRDefault="005C670F" w:rsidP="00F37D0D">
            <w:pPr>
              <w:pStyle w:val="Tabletext"/>
              <w:rPr>
                <w:b/>
                <w:color w:val="000000"/>
                <w:lang w:eastAsia="en-AU"/>
              </w:rPr>
            </w:pPr>
            <w:r w:rsidRPr="00947197">
              <w:rPr>
                <w:b/>
                <w:color w:val="000000"/>
                <w:lang w:eastAsia="en-AU"/>
              </w:rPr>
              <w:t>PISA quartile</w:t>
            </w:r>
          </w:p>
        </w:tc>
        <w:tc>
          <w:tcPr>
            <w:tcW w:w="328" w:type="pct"/>
            <w:noWrap/>
            <w:hideMark/>
          </w:tcPr>
          <w:p w14:paraId="008ACC43" w14:textId="77777777" w:rsidR="005C670F" w:rsidRPr="00947197" w:rsidRDefault="005C670F" w:rsidP="00F37D0D">
            <w:pPr>
              <w:pStyle w:val="Tabletext"/>
              <w:rPr>
                <w:color w:val="000000"/>
                <w:lang w:eastAsia="en-AU"/>
              </w:rPr>
            </w:pPr>
          </w:p>
        </w:tc>
        <w:tc>
          <w:tcPr>
            <w:tcW w:w="386" w:type="pct"/>
            <w:noWrap/>
            <w:hideMark/>
          </w:tcPr>
          <w:p w14:paraId="67CAC6C8" w14:textId="77777777" w:rsidR="005C670F" w:rsidRPr="00947197" w:rsidRDefault="005C670F" w:rsidP="00F37D0D">
            <w:pPr>
              <w:pStyle w:val="Tabletext"/>
              <w:rPr>
                <w:lang w:eastAsia="en-AU"/>
              </w:rPr>
            </w:pPr>
          </w:p>
        </w:tc>
        <w:tc>
          <w:tcPr>
            <w:tcW w:w="534" w:type="pct"/>
          </w:tcPr>
          <w:p w14:paraId="6938D972" w14:textId="77777777" w:rsidR="005C670F" w:rsidRPr="00947197" w:rsidRDefault="005C670F" w:rsidP="00F37D0D">
            <w:pPr>
              <w:pStyle w:val="Tabletext"/>
              <w:rPr>
                <w:lang w:eastAsia="en-AU"/>
              </w:rPr>
            </w:pPr>
          </w:p>
        </w:tc>
        <w:tc>
          <w:tcPr>
            <w:tcW w:w="714" w:type="pct"/>
            <w:gridSpan w:val="2"/>
          </w:tcPr>
          <w:p w14:paraId="44FADA35" w14:textId="77777777" w:rsidR="005C670F" w:rsidRPr="00947197" w:rsidRDefault="005C670F" w:rsidP="00F37D0D">
            <w:pPr>
              <w:pStyle w:val="Tabletext"/>
              <w:rPr>
                <w:lang w:eastAsia="en-AU"/>
              </w:rPr>
            </w:pPr>
          </w:p>
        </w:tc>
        <w:tc>
          <w:tcPr>
            <w:tcW w:w="543" w:type="pct"/>
          </w:tcPr>
          <w:p w14:paraId="6691FD64" w14:textId="77777777" w:rsidR="005C670F" w:rsidRPr="00947197" w:rsidRDefault="005C670F" w:rsidP="00F37D0D">
            <w:pPr>
              <w:pStyle w:val="Tabletext"/>
              <w:rPr>
                <w:lang w:eastAsia="en-AU"/>
              </w:rPr>
            </w:pPr>
          </w:p>
        </w:tc>
        <w:tc>
          <w:tcPr>
            <w:tcW w:w="826" w:type="pct"/>
            <w:gridSpan w:val="4"/>
          </w:tcPr>
          <w:p w14:paraId="09B2D2E0" w14:textId="77777777" w:rsidR="005C670F" w:rsidRPr="00947197" w:rsidRDefault="005C670F" w:rsidP="00F37D0D">
            <w:pPr>
              <w:pStyle w:val="Tabletext"/>
              <w:rPr>
                <w:lang w:eastAsia="en-AU"/>
              </w:rPr>
            </w:pPr>
          </w:p>
        </w:tc>
        <w:tc>
          <w:tcPr>
            <w:tcW w:w="452" w:type="pct"/>
          </w:tcPr>
          <w:p w14:paraId="2C50A448" w14:textId="77777777" w:rsidR="005C670F" w:rsidRPr="00947197" w:rsidRDefault="005C670F" w:rsidP="00F37D0D">
            <w:pPr>
              <w:pStyle w:val="Tabletext"/>
              <w:rPr>
                <w:lang w:eastAsia="en-AU"/>
              </w:rPr>
            </w:pPr>
          </w:p>
        </w:tc>
      </w:tr>
      <w:tr w:rsidR="00947197" w:rsidRPr="00947197" w14:paraId="06B1F518" w14:textId="77777777" w:rsidTr="00D2715F">
        <w:trPr>
          <w:gridAfter w:val="1"/>
          <w:wAfter w:w="35" w:type="pct"/>
          <w:trHeight w:val="300"/>
        </w:trPr>
        <w:tc>
          <w:tcPr>
            <w:tcW w:w="1165" w:type="pct"/>
            <w:noWrap/>
            <w:hideMark/>
          </w:tcPr>
          <w:p w14:paraId="23DBF4C5" w14:textId="77777777" w:rsidR="005C670F" w:rsidRPr="00947197" w:rsidRDefault="005C670F" w:rsidP="00F37D0D">
            <w:pPr>
              <w:pStyle w:val="Tabletext"/>
              <w:rPr>
                <w:color w:val="000000"/>
                <w:lang w:eastAsia="en-AU"/>
              </w:rPr>
            </w:pPr>
            <w:r w:rsidRPr="00947197">
              <w:rPr>
                <w:color w:val="000000"/>
                <w:lang w:eastAsia="en-AU"/>
              </w:rPr>
              <w:t>Quartile 4 (ref.)</w:t>
            </w:r>
          </w:p>
        </w:tc>
        <w:tc>
          <w:tcPr>
            <w:tcW w:w="714" w:type="pct"/>
            <w:gridSpan w:val="2"/>
            <w:noWrap/>
            <w:hideMark/>
          </w:tcPr>
          <w:p w14:paraId="4849EFD9" w14:textId="77777777" w:rsidR="005C670F" w:rsidRPr="00947197" w:rsidRDefault="005C670F" w:rsidP="00F37D0D">
            <w:pPr>
              <w:pStyle w:val="Tabletext"/>
              <w:rPr>
                <w:color w:val="000000"/>
                <w:lang w:eastAsia="en-AU"/>
              </w:rPr>
            </w:pPr>
          </w:p>
        </w:tc>
        <w:tc>
          <w:tcPr>
            <w:tcW w:w="534" w:type="pct"/>
          </w:tcPr>
          <w:p w14:paraId="57834035" w14:textId="77777777" w:rsidR="005C670F" w:rsidRPr="00947197" w:rsidRDefault="005C670F" w:rsidP="00F37D0D">
            <w:pPr>
              <w:pStyle w:val="Tabletext"/>
              <w:rPr>
                <w:color w:val="000000"/>
                <w:lang w:eastAsia="en-AU"/>
              </w:rPr>
            </w:pPr>
          </w:p>
        </w:tc>
        <w:tc>
          <w:tcPr>
            <w:tcW w:w="714" w:type="pct"/>
            <w:gridSpan w:val="2"/>
          </w:tcPr>
          <w:p w14:paraId="61430C11" w14:textId="77777777" w:rsidR="005C670F" w:rsidRPr="00947197" w:rsidRDefault="005C670F" w:rsidP="00F37D0D">
            <w:pPr>
              <w:pStyle w:val="Tabletext"/>
              <w:rPr>
                <w:color w:val="000000"/>
                <w:lang w:eastAsia="en-AU"/>
              </w:rPr>
            </w:pPr>
          </w:p>
        </w:tc>
        <w:tc>
          <w:tcPr>
            <w:tcW w:w="543" w:type="pct"/>
          </w:tcPr>
          <w:p w14:paraId="6432C7B5" w14:textId="77777777" w:rsidR="005C670F" w:rsidRPr="00947197" w:rsidRDefault="005C670F" w:rsidP="00F37D0D">
            <w:pPr>
              <w:pStyle w:val="Tabletext"/>
              <w:rPr>
                <w:color w:val="000000"/>
                <w:lang w:eastAsia="en-AU"/>
              </w:rPr>
            </w:pPr>
          </w:p>
        </w:tc>
        <w:tc>
          <w:tcPr>
            <w:tcW w:w="705" w:type="pct"/>
            <w:gridSpan w:val="2"/>
          </w:tcPr>
          <w:p w14:paraId="0B245B4D" w14:textId="77777777" w:rsidR="005C670F" w:rsidRPr="00947197" w:rsidRDefault="005C670F" w:rsidP="00F37D0D">
            <w:pPr>
              <w:pStyle w:val="Tabletext"/>
              <w:rPr>
                <w:color w:val="000000"/>
                <w:lang w:eastAsia="en-AU"/>
              </w:rPr>
            </w:pPr>
          </w:p>
        </w:tc>
        <w:tc>
          <w:tcPr>
            <w:tcW w:w="590" w:type="pct"/>
            <w:gridSpan w:val="4"/>
          </w:tcPr>
          <w:p w14:paraId="0CCF45B5" w14:textId="77777777" w:rsidR="005C670F" w:rsidRPr="00947197" w:rsidRDefault="005C670F" w:rsidP="00F37D0D">
            <w:pPr>
              <w:pStyle w:val="Tabletext"/>
              <w:rPr>
                <w:color w:val="000000"/>
                <w:lang w:eastAsia="en-AU"/>
              </w:rPr>
            </w:pPr>
          </w:p>
        </w:tc>
      </w:tr>
      <w:tr w:rsidR="00947197" w:rsidRPr="00947197" w14:paraId="347293DB" w14:textId="77777777" w:rsidTr="00D2715F">
        <w:trPr>
          <w:gridAfter w:val="1"/>
          <w:wAfter w:w="35" w:type="pct"/>
          <w:trHeight w:val="300"/>
        </w:trPr>
        <w:tc>
          <w:tcPr>
            <w:tcW w:w="1165" w:type="pct"/>
            <w:noWrap/>
            <w:hideMark/>
          </w:tcPr>
          <w:p w14:paraId="74144001" w14:textId="77777777" w:rsidR="005C670F" w:rsidRPr="00947197" w:rsidRDefault="005C670F" w:rsidP="00F37D0D">
            <w:pPr>
              <w:pStyle w:val="Tabletext"/>
              <w:rPr>
                <w:color w:val="000000"/>
                <w:lang w:eastAsia="en-AU"/>
              </w:rPr>
            </w:pPr>
            <w:r w:rsidRPr="00947197">
              <w:rPr>
                <w:color w:val="000000"/>
                <w:lang w:eastAsia="en-AU"/>
              </w:rPr>
              <w:t>Quartile 1</w:t>
            </w:r>
          </w:p>
        </w:tc>
        <w:tc>
          <w:tcPr>
            <w:tcW w:w="714" w:type="pct"/>
            <w:gridSpan w:val="2"/>
            <w:noWrap/>
          </w:tcPr>
          <w:p w14:paraId="47E85F99" w14:textId="77777777" w:rsidR="005C670F" w:rsidRPr="00947197" w:rsidRDefault="005C670F" w:rsidP="00F37D0D">
            <w:pPr>
              <w:pStyle w:val="Tabletext"/>
              <w:rPr>
                <w:color w:val="000000"/>
                <w:lang w:eastAsia="en-AU"/>
              </w:rPr>
            </w:pPr>
            <w:r w:rsidRPr="00947197">
              <w:rPr>
                <w:color w:val="000000"/>
                <w:lang w:eastAsia="en-AU"/>
              </w:rPr>
              <w:t>-0.05***</w:t>
            </w:r>
          </w:p>
        </w:tc>
        <w:tc>
          <w:tcPr>
            <w:tcW w:w="534" w:type="pct"/>
          </w:tcPr>
          <w:p w14:paraId="38A84687" w14:textId="77777777" w:rsidR="005C670F" w:rsidRPr="00947197" w:rsidRDefault="005C670F" w:rsidP="00F37D0D">
            <w:pPr>
              <w:pStyle w:val="Tabletext"/>
              <w:rPr>
                <w:color w:val="000000"/>
                <w:lang w:eastAsia="en-AU"/>
              </w:rPr>
            </w:pPr>
            <w:r w:rsidRPr="00947197">
              <w:rPr>
                <w:color w:val="000000"/>
                <w:lang w:eastAsia="en-AU"/>
              </w:rPr>
              <w:t>0.01</w:t>
            </w:r>
          </w:p>
        </w:tc>
        <w:tc>
          <w:tcPr>
            <w:tcW w:w="714" w:type="pct"/>
            <w:gridSpan w:val="2"/>
          </w:tcPr>
          <w:p w14:paraId="2AA669A2" w14:textId="77777777" w:rsidR="005C670F" w:rsidRPr="00947197" w:rsidRDefault="005C670F" w:rsidP="00F37D0D">
            <w:pPr>
              <w:pStyle w:val="Tabletext"/>
              <w:rPr>
                <w:color w:val="000000"/>
                <w:lang w:eastAsia="en-AU"/>
              </w:rPr>
            </w:pPr>
            <w:r w:rsidRPr="00947197">
              <w:rPr>
                <w:color w:val="000000"/>
                <w:lang w:eastAsia="en-AU"/>
              </w:rPr>
              <w:t>0.05***</w:t>
            </w:r>
          </w:p>
        </w:tc>
        <w:tc>
          <w:tcPr>
            <w:tcW w:w="617" w:type="pct"/>
            <w:gridSpan w:val="2"/>
          </w:tcPr>
          <w:p w14:paraId="4D2F355B" w14:textId="77777777" w:rsidR="005C670F" w:rsidRPr="00947197" w:rsidRDefault="005C670F" w:rsidP="00F37D0D">
            <w:pPr>
              <w:pStyle w:val="Tabletext"/>
              <w:rPr>
                <w:color w:val="000000"/>
                <w:lang w:eastAsia="en-AU"/>
              </w:rPr>
            </w:pPr>
            <w:r w:rsidRPr="00947197">
              <w:rPr>
                <w:color w:val="000000"/>
                <w:lang w:eastAsia="en-AU"/>
              </w:rPr>
              <w:t>0.01</w:t>
            </w:r>
          </w:p>
        </w:tc>
        <w:tc>
          <w:tcPr>
            <w:tcW w:w="690" w:type="pct"/>
            <w:gridSpan w:val="2"/>
          </w:tcPr>
          <w:p w14:paraId="271EC52B" w14:textId="77777777" w:rsidR="005C670F" w:rsidRPr="00947197" w:rsidRDefault="005C670F" w:rsidP="00F37D0D">
            <w:pPr>
              <w:pStyle w:val="Tabletext"/>
              <w:rPr>
                <w:color w:val="000000"/>
                <w:lang w:eastAsia="en-AU"/>
              </w:rPr>
            </w:pPr>
            <w:r w:rsidRPr="00947197">
              <w:rPr>
                <w:color w:val="000000"/>
                <w:lang w:eastAsia="en-AU"/>
              </w:rPr>
              <w:t>0.06***</w:t>
            </w:r>
          </w:p>
        </w:tc>
        <w:tc>
          <w:tcPr>
            <w:tcW w:w="531" w:type="pct"/>
            <w:gridSpan w:val="3"/>
          </w:tcPr>
          <w:p w14:paraId="627EC5AE" w14:textId="77777777" w:rsidR="005C670F" w:rsidRPr="00947197" w:rsidRDefault="005C670F" w:rsidP="00F37D0D">
            <w:pPr>
              <w:pStyle w:val="Tabletext"/>
              <w:rPr>
                <w:color w:val="000000"/>
                <w:lang w:eastAsia="en-AU"/>
              </w:rPr>
            </w:pPr>
            <w:r w:rsidRPr="00947197">
              <w:rPr>
                <w:color w:val="000000"/>
                <w:lang w:eastAsia="en-AU"/>
              </w:rPr>
              <w:t>0.01</w:t>
            </w:r>
          </w:p>
        </w:tc>
      </w:tr>
      <w:tr w:rsidR="00947197" w:rsidRPr="00947197" w14:paraId="1B8539C5" w14:textId="77777777" w:rsidTr="00D2715F">
        <w:trPr>
          <w:gridAfter w:val="1"/>
          <w:wAfter w:w="35" w:type="pct"/>
          <w:trHeight w:val="300"/>
        </w:trPr>
        <w:tc>
          <w:tcPr>
            <w:tcW w:w="1165" w:type="pct"/>
            <w:noWrap/>
            <w:hideMark/>
          </w:tcPr>
          <w:p w14:paraId="2A9F04C3" w14:textId="77777777" w:rsidR="005C670F" w:rsidRPr="00947197" w:rsidRDefault="005C670F" w:rsidP="00F37D0D">
            <w:pPr>
              <w:pStyle w:val="Tabletext"/>
              <w:rPr>
                <w:color w:val="000000"/>
                <w:lang w:eastAsia="en-AU"/>
              </w:rPr>
            </w:pPr>
            <w:r w:rsidRPr="00947197">
              <w:rPr>
                <w:color w:val="000000"/>
                <w:lang w:eastAsia="en-AU"/>
              </w:rPr>
              <w:t>Quartile 2</w:t>
            </w:r>
          </w:p>
        </w:tc>
        <w:tc>
          <w:tcPr>
            <w:tcW w:w="714" w:type="pct"/>
            <w:gridSpan w:val="2"/>
            <w:noWrap/>
            <w:hideMark/>
          </w:tcPr>
          <w:p w14:paraId="31867C44" w14:textId="77777777" w:rsidR="005C670F" w:rsidRPr="00947197" w:rsidRDefault="005C670F" w:rsidP="00F37D0D">
            <w:pPr>
              <w:pStyle w:val="Tabletext"/>
              <w:rPr>
                <w:color w:val="000000"/>
                <w:lang w:eastAsia="en-AU"/>
              </w:rPr>
            </w:pPr>
            <w:r w:rsidRPr="00947197">
              <w:rPr>
                <w:color w:val="000000"/>
                <w:lang w:eastAsia="en-AU"/>
              </w:rPr>
              <w:t>0.17***</w:t>
            </w:r>
          </w:p>
        </w:tc>
        <w:tc>
          <w:tcPr>
            <w:tcW w:w="534" w:type="pct"/>
          </w:tcPr>
          <w:p w14:paraId="0F5A04DD" w14:textId="77777777" w:rsidR="005C670F" w:rsidRPr="00947197" w:rsidRDefault="005C670F" w:rsidP="00F37D0D">
            <w:pPr>
              <w:pStyle w:val="Tabletext"/>
              <w:rPr>
                <w:color w:val="000000"/>
                <w:lang w:eastAsia="en-AU"/>
              </w:rPr>
            </w:pPr>
            <w:r w:rsidRPr="00947197">
              <w:rPr>
                <w:color w:val="000000"/>
                <w:lang w:eastAsia="en-AU"/>
              </w:rPr>
              <w:t>0.02</w:t>
            </w:r>
          </w:p>
        </w:tc>
        <w:tc>
          <w:tcPr>
            <w:tcW w:w="714" w:type="pct"/>
            <w:gridSpan w:val="2"/>
          </w:tcPr>
          <w:p w14:paraId="0B7942B1" w14:textId="77777777" w:rsidR="005C670F" w:rsidRPr="00947197" w:rsidRDefault="005C670F" w:rsidP="00F37D0D">
            <w:pPr>
              <w:pStyle w:val="Tabletext"/>
              <w:rPr>
                <w:color w:val="000000"/>
                <w:lang w:eastAsia="en-AU"/>
              </w:rPr>
            </w:pPr>
            <w:r w:rsidRPr="00947197">
              <w:rPr>
                <w:color w:val="000000"/>
                <w:lang w:eastAsia="en-AU"/>
              </w:rPr>
              <w:t>0.18***</w:t>
            </w:r>
          </w:p>
        </w:tc>
        <w:tc>
          <w:tcPr>
            <w:tcW w:w="617" w:type="pct"/>
            <w:gridSpan w:val="2"/>
          </w:tcPr>
          <w:p w14:paraId="460040D0" w14:textId="77777777" w:rsidR="005C670F" w:rsidRPr="00947197" w:rsidRDefault="005C670F" w:rsidP="00F37D0D">
            <w:pPr>
              <w:pStyle w:val="Tabletext"/>
              <w:rPr>
                <w:color w:val="000000"/>
                <w:lang w:eastAsia="en-AU"/>
              </w:rPr>
            </w:pPr>
            <w:r w:rsidRPr="00947197">
              <w:rPr>
                <w:color w:val="000000"/>
                <w:lang w:eastAsia="en-AU"/>
              </w:rPr>
              <w:t>0.01</w:t>
            </w:r>
          </w:p>
        </w:tc>
        <w:tc>
          <w:tcPr>
            <w:tcW w:w="690" w:type="pct"/>
            <w:gridSpan w:val="2"/>
          </w:tcPr>
          <w:p w14:paraId="12C35477" w14:textId="77777777" w:rsidR="005C670F" w:rsidRPr="00947197" w:rsidRDefault="005C670F" w:rsidP="00F37D0D">
            <w:pPr>
              <w:pStyle w:val="Tabletext"/>
              <w:rPr>
                <w:color w:val="000000"/>
                <w:lang w:eastAsia="en-AU"/>
              </w:rPr>
            </w:pPr>
            <w:r w:rsidRPr="00947197">
              <w:rPr>
                <w:color w:val="000000"/>
                <w:lang w:eastAsia="en-AU"/>
              </w:rPr>
              <w:t>0.19***</w:t>
            </w:r>
          </w:p>
        </w:tc>
        <w:tc>
          <w:tcPr>
            <w:tcW w:w="531" w:type="pct"/>
            <w:gridSpan w:val="3"/>
          </w:tcPr>
          <w:p w14:paraId="6A8C1818" w14:textId="77777777" w:rsidR="005C670F" w:rsidRPr="00947197" w:rsidRDefault="005C670F" w:rsidP="00F37D0D">
            <w:pPr>
              <w:pStyle w:val="Tabletext"/>
              <w:rPr>
                <w:color w:val="000000"/>
                <w:lang w:eastAsia="en-AU"/>
              </w:rPr>
            </w:pPr>
            <w:r w:rsidRPr="00947197">
              <w:rPr>
                <w:color w:val="000000"/>
                <w:lang w:eastAsia="en-AU"/>
              </w:rPr>
              <w:t>0.02</w:t>
            </w:r>
          </w:p>
        </w:tc>
      </w:tr>
      <w:tr w:rsidR="00947197" w:rsidRPr="00947197" w14:paraId="755AD334" w14:textId="77777777" w:rsidTr="00D2715F">
        <w:trPr>
          <w:gridAfter w:val="1"/>
          <w:wAfter w:w="35" w:type="pct"/>
          <w:trHeight w:val="300"/>
        </w:trPr>
        <w:tc>
          <w:tcPr>
            <w:tcW w:w="1165" w:type="pct"/>
            <w:noWrap/>
          </w:tcPr>
          <w:p w14:paraId="6106075E" w14:textId="77777777" w:rsidR="005C670F" w:rsidRPr="00947197" w:rsidRDefault="005C670F" w:rsidP="00F37D0D">
            <w:pPr>
              <w:pStyle w:val="Tabletext"/>
              <w:rPr>
                <w:color w:val="000000"/>
                <w:lang w:eastAsia="en-AU"/>
              </w:rPr>
            </w:pPr>
            <w:r w:rsidRPr="00947197">
              <w:rPr>
                <w:color w:val="000000"/>
                <w:lang w:eastAsia="en-AU"/>
              </w:rPr>
              <w:t>Quartile 3</w:t>
            </w:r>
          </w:p>
        </w:tc>
        <w:tc>
          <w:tcPr>
            <w:tcW w:w="714" w:type="pct"/>
            <w:gridSpan w:val="2"/>
            <w:noWrap/>
          </w:tcPr>
          <w:p w14:paraId="3F5581F5" w14:textId="77777777" w:rsidR="005C670F" w:rsidRPr="00947197" w:rsidRDefault="005C670F" w:rsidP="00F37D0D">
            <w:pPr>
              <w:pStyle w:val="Tabletext"/>
              <w:rPr>
                <w:color w:val="000000"/>
                <w:lang w:eastAsia="en-AU"/>
              </w:rPr>
            </w:pPr>
            <w:r w:rsidRPr="00947197">
              <w:rPr>
                <w:color w:val="000000"/>
                <w:lang w:eastAsia="en-AU"/>
              </w:rPr>
              <w:t>0.40***</w:t>
            </w:r>
          </w:p>
        </w:tc>
        <w:tc>
          <w:tcPr>
            <w:tcW w:w="534" w:type="pct"/>
          </w:tcPr>
          <w:p w14:paraId="4E67618E" w14:textId="77777777" w:rsidR="005C670F" w:rsidRPr="00947197" w:rsidRDefault="005C670F" w:rsidP="00F37D0D">
            <w:pPr>
              <w:pStyle w:val="Tabletext"/>
              <w:rPr>
                <w:color w:val="000000"/>
                <w:lang w:eastAsia="en-AU"/>
              </w:rPr>
            </w:pPr>
            <w:r w:rsidRPr="00947197">
              <w:rPr>
                <w:color w:val="000000"/>
                <w:lang w:eastAsia="en-AU"/>
              </w:rPr>
              <w:t>0.03</w:t>
            </w:r>
          </w:p>
        </w:tc>
        <w:tc>
          <w:tcPr>
            <w:tcW w:w="714" w:type="pct"/>
            <w:gridSpan w:val="2"/>
          </w:tcPr>
          <w:p w14:paraId="6F165E59" w14:textId="77777777" w:rsidR="005C670F" w:rsidRPr="00947197" w:rsidRDefault="005C670F" w:rsidP="00F37D0D">
            <w:pPr>
              <w:pStyle w:val="Tabletext"/>
              <w:rPr>
                <w:color w:val="000000"/>
                <w:lang w:eastAsia="en-AU"/>
              </w:rPr>
            </w:pPr>
            <w:r w:rsidRPr="00947197">
              <w:rPr>
                <w:color w:val="000000"/>
                <w:lang w:eastAsia="en-AU"/>
              </w:rPr>
              <w:t>0.39***</w:t>
            </w:r>
          </w:p>
        </w:tc>
        <w:tc>
          <w:tcPr>
            <w:tcW w:w="617" w:type="pct"/>
            <w:gridSpan w:val="2"/>
          </w:tcPr>
          <w:p w14:paraId="482E6D66" w14:textId="77777777" w:rsidR="005C670F" w:rsidRPr="00947197" w:rsidRDefault="005C670F" w:rsidP="00F37D0D">
            <w:pPr>
              <w:pStyle w:val="Tabletext"/>
              <w:rPr>
                <w:color w:val="000000"/>
                <w:lang w:eastAsia="en-AU"/>
              </w:rPr>
            </w:pPr>
            <w:r w:rsidRPr="00947197">
              <w:rPr>
                <w:color w:val="000000"/>
                <w:lang w:eastAsia="en-AU"/>
              </w:rPr>
              <w:t>0.03</w:t>
            </w:r>
          </w:p>
        </w:tc>
        <w:tc>
          <w:tcPr>
            <w:tcW w:w="690" w:type="pct"/>
            <w:gridSpan w:val="2"/>
          </w:tcPr>
          <w:p w14:paraId="3827BFA4" w14:textId="77777777" w:rsidR="005C670F" w:rsidRPr="00947197" w:rsidRDefault="005C670F" w:rsidP="00F37D0D">
            <w:pPr>
              <w:pStyle w:val="Tabletext"/>
              <w:rPr>
                <w:color w:val="000000"/>
                <w:lang w:eastAsia="en-AU"/>
              </w:rPr>
            </w:pPr>
            <w:r w:rsidRPr="00947197">
              <w:rPr>
                <w:color w:val="000000"/>
                <w:lang w:eastAsia="en-AU"/>
              </w:rPr>
              <w:t>0.41***</w:t>
            </w:r>
          </w:p>
        </w:tc>
        <w:tc>
          <w:tcPr>
            <w:tcW w:w="531" w:type="pct"/>
            <w:gridSpan w:val="3"/>
          </w:tcPr>
          <w:p w14:paraId="67EFCB65" w14:textId="77777777" w:rsidR="005C670F" w:rsidRPr="00947197" w:rsidRDefault="005C670F" w:rsidP="00F37D0D">
            <w:pPr>
              <w:pStyle w:val="Tabletext"/>
              <w:rPr>
                <w:color w:val="000000"/>
                <w:lang w:eastAsia="en-AU"/>
              </w:rPr>
            </w:pPr>
            <w:r w:rsidRPr="00947197">
              <w:rPr>
                <w:color w:val="000000"/>
                <w:lang w:eastAsia="en-AU"/>
              </w:rPr>
              <w:t>0.03</w:t>
            </w:r>
          </w:p>
        </w:tc>
      </w:tr>
      <w:tr w:rsidR="00947197" w:rsidRPr="00947197" w14:paraId="7D729D60" w14:textId="77777777" w:rsidTr="00D2715F">
        <w:trPr>
          <w:gridAfter w:val="1"/>
          <w:wAfter w:w="35" w:type="pct"/>
          <w:trHeight w:val="300"/>
        </w:trPr>
        <w:tc>
          <w:tcPr>
            <w:tcW w:w="1165" w:type="pct"/>
            <w:noWrap/>
          </w:tcPr>
          <w:p w14:paraId="38657936" w14:textId="0C2E52A3" w:rsidR="005C670F" w:rsidRPr="00947197" w:rsidRDefault="005C670F" w:rsidP="00F37D0D">
            <w:pPr>
              <w:pStyle w:val="Tabletext"/>
              <w:rPr>
                <w:b/>
                <w:color w:val="000000"/>
                <w:lang w:eastAsia="en-AU"/>
              </w:rPr>
            </w:pPr>
            <w:r w:rsidRPr="00947197">
              <w:rPr>
                <w:b/>
                <w:color w:val="000000"/>
                <w:lang w:eastAsia="en-AU"/>
              </w:rPr>
              <w:t>Sex Female =</w:t>
            </w:r>
            <w:r w:rsidR="001A7B3C">
              <w:rPr>
                <w:b/>
                <w:color w:val="000000"/>
                <w:lang w:eastAsia="en-AU"/>
              </w:rPr>
              <w:t xml:space="preserve"> </w:t>
            </w:r>
            <w:r w:rsidRPr="00947197">
              <w:rPr>
                <w:b/>
                <w:color w:val="000000"/>
                <w:lang w:eastAsia="en-AU"/>
              </w:rPr>
              <w:t>1</w:t>
            </w:r>
          </w:p>
        </w:tc>
        <w:tc>
          <w:tcPr>
            <w:tcW w:w="714" w:type="pct"/>
            <w:gridSpan w:val="2"/>
            <w:noWrap/>
          </w:tcPr>
          <w:p w14:paraId="27E7E842" w14:textId="77777777" w:rsidR="005C670F" w:rsidRPr="00947197" w:rsidRDefault="005C670F" w:rsidP="00F37D0D">
            <w:pPr>
              <w:pStyle w:val="Tabletext"/>
              <w:rPr>
                <w:color w:val="000000"/>
                <w:lang w:eastAsia="en-AU"/>
              </w:rPr>
            </w:pPr>
            <w:r w:rsidRPr="00947197">
              <w:rPr>
                <w:color w:val="000000"/>
                <w:lang w:eastAsia="en-AU"/>
              </w:rPr>
              <w:t>1.93***</w:t>
            </w:r>
          </w:p>
        </w:tc>
        <w:tc>
          <w:tcPr>
            <w:tcW w:w="534" w:type="pct"/>
          </w:tcPr>
          <w:p w14:paraId="06C5E513" w14:textId="77777777" w:rsidR="005C670F" w:rsidRPr="00947197" w:rsidRDefault="005C670F" w:rsidP="00F37D0D">
            <w:pPr>
              <w:pStyle w:val="Tabletext"/>
              <w:rPr>
                <w:color w:val="000000"/>
                <w:lang w:eastAsia="en-AU"/>
              </w:rPr>
            </w:pPr>
            <w:r w:rsidRPr="00947197">
              <w:rPr>
                <w:color w:val="000000"/>
                <w:lang w:eastAsia="en-AU"/>
              </w:rPr>
              <w:t>0.14</w:t>
            </w:r>
          </w:p>
        </w:tc>
        <w:tc>
          <w:tcPr>
            <w:tcW w:w="714" w:type="pct"/>
            <w:gridSpan w:val="2"/>
          </w:tcPr>
          <w:p w14:paraId="70F1CD1C" w14:textId="77777777" w:rsidR="005C670F" w:rsidRPr="00947197" w:rsidRDefault="005C670F" w:rsidP="00F37D0D">
            <w:pPr>
              <w:pStyle w:val="Tabletext"/>
              <w:rPr>
                <w:color w:val="000000"/>
                <w:lang w:eastAsia="en-AU"/>
              </w:rPr>
            </w:pPr>
            <w:r w:rsidRPr="00947197">
              <w:rPr>
                <w:color w:val="000000"/>
                <w:lang w:eastAsia="en-AU"/>
              </w:rPr>
              <w:t>1.94***</w:t>
            </w:r>
          </w:p>
        </w:tc>
        <w:tc>
          <w:tcPr>
            <w:tcW w:w="617" w:type="pct"/>
            <w:gridSpan w:val="2"/>
          </w:tcPr>
          <w:p w14:paraId="0756A8C1" w14:textId="77777777" w:rsidR="005C670F" w:rsidRPr="00947197" w:rsidRDefault="005C670F" w:rsidP="00F37D0D">
            <w:pPr>
              <w:pStyle w:val="Tabletext"/>
              <w:rPr>
                <w:color w:val="000000"/>
                <w:lang w:eastAsia="en-AU"/>
              </w:rPr>
            </w:pPr>
            <w:r w:rsidRPr="00947197">
              <w:rPr>
                <w:color w:val="000000"/>
                <w:lang w:eastAsia="en-AU"/>
              </w:rPr>
              <w:t>0.13</w:t>
            </w:r>
          </w:p>
        </w:tc>
        <w:tc>
          <w:tcPr>
            <w:tcW w:w="690" w:type="pct"/>
            <w:gridSpan w:val="2"/>
          </w:tcPr>
          <w:p w14:paraId="2294B813" w14:textId="77777777" w:rsidR="005C670F" w:rsidRPr="00947197" w:rsidRDefault="005C670F" w:rsidP="00F37D0D">
            <w:pPr>
              <w:pStyle w:val="Tabletext"/>
              <w:rPr>
                <w:color w:val="000000"/>
                <w:lang w:eastAsia="en-AU"/>
              </w:rPr>
            </w:pPr>
            <w:r w:rsidRPr="00947197">
              <w:rPr>
                <w:color w:val="000000"/>
                <w:lang w:eastAsia="en-AU"/>
              </w:rPr>
              <w:t>1.99***</w:t>
            </w:r>
          </w:p>
        </w:tc>
        <w:tc>
          <w:tcPr>
            <w:tcW w:w="531" w:type="pct"/>
            <w:gridSpan w:val="3"/>
          </w:tcPr>
          <w:p w14:paraId="3E668113" w14:textId="77777777" w:rsidR="005C670F" w:rsidRPr="00947197" w:rsidRDefault="005C670F" w:rsidP="00F37D0D">
            <w:pPr>
              <w:pStyle w:val="Tabletext"/>
              <w:rPr>
                <w:color w:val="000000"/>
                <w:lang w:eastAsia="en-AU"/>
              </w:rPr>
            </w:pPr>
            <w:r w:rsidRPr="00947197">
              <w:rPr>
                <w:color w:val="000000"/>
                <w:lang w:eastAsia="en-AU"/>
              </w:rPr>
              <w:t>0.14</w:t>
            </w:r>
          </w:p>
        </w:tc>
      </w:tr>
      <w:tr w:rsidR="00947197" w:rsidRPr="00947197" w14:paraId="4978DA1F" w14:textId="77777777" w:rsidTr="00D2715F">
        <w:trPr>
          <w:gridAfter w:val="1"/>
          <w:wAfter w:w="35" w:type="pct"/>
          <w:trHeight w:val="300"/>
        </w:trPr>
        <w:tc>
          <w:tcPr>
            <w:tcW w:w="1165" w:type="pct"/>
            <w:noWrap/>
            <w:hideMark/>
          </w:tcPr>
          <w:p w14:paraId="310C6629" w14:textId="77777777" w:rsidR="005C670F" w:rsidRPr="00947197" w:rsidRDefault="005C670F" w:rsidP="00F37D0D">
            <w:pPr>
              <w:pStyle w:val="Tabletext"/>
              <w:rPr>
                <w:color w:val="000000"/>
                <w:lang w:eastAsia="en-AU"/>
              </w:rPr>
            </w:pPr>
            <w:r w:rsidRPr="00947197">
              <w:rPr>
                <w:color w:val="000000"/>
                <w:lang w:eastAsia="en-AU"/>
              </w:rPr>
              <w:t>Constant</w:t>
            </w:r>
          </w:p>
        </w:tc>
        <w:tc>
          <w:tcPr>
            <w:tcW w:w="714" w:type="pct"/>
            <w:gridSpan w:val="2"/>
            <w:noWrap/>
            <w:hideMark/>
          </w:tcPr>
          <w:p w14:paraId="43B7F728" w14:textId="77777777" w:rsidR="005C670F" w:rsidRPr="00947197" w:rsidRDefault="005C670F" w:rsidP="00F37D0D">
            <w:pPr>
              <w:pStyle w:val="Tabletext"/>
              <w:rPr>
                <w:color w:val="000000"/>
                <w:lang w:eastAsia="en-AU"/>
              </w:rPr>
            </w:pPr>
            <w:r w:rsidRPr="00947197">
              <w:rPr>
                <w:color w:val="000000"/>
                <w:lang w:eastAsia="en-AU"/>
              </w:rPr>
              <w:t>4.46***</w:t>
            </w:r>
          </w:p>
        </w:tc>
        <w:tc>
          <w:tcPr>
            <w:tcW w:w="534" w:type="pct"/>
          </w:tcPr>
          <w:p w14:paraId="03917F38" w14:textId="77777777" w:rsidR="005C670F" w:rsidRPr="00947197" w:rsidRDefault="005C670F" w:rsidP="00F37D0D">
            <w:pPr>
              <w:pStyle w:val="Tabletext"/>
              <w:rPr>
                <w:color w:val="000000"/>
                <w:lang w:eastAsia="en-AU"/>
              </w:rPr>
            </w:pPr>
            <w:r w:rsidRPr="00947197">
              <w:rPr>
                <w:color w:val="000000"/>
                <w:lang w:eastAsia="en-AU"/>
              </w:rPr>
              <w:t>0.39</w:t>
            </w:r>
          </w:p>
        </w:tc>
        <w:tc>
          <w:tcPr>
            <w:tcW w:w="714" w:type="pct"/>
            <w:gridSpan w:val="2"/>
          </w:tcPr>
          <w:p w14:paraId="7FCA37F8" w14:textId="77777777" w:rsidR="005C670F" w:rsidRPr="00947197" w:rsidRDefault="005C670F" w:rsidP="00F37D0D">
            <w:pPr>
              <w:pStyle w:val="Tabletext"/>
              <w:rPr>
                <w:color w:val="000000"/>
                <w:lang w:eastAsia="en-AU"/>
              </w:rPr>
            </w:pPr>
            <w:r w:rsidRPr="00947197">
              <w:rPr>
                <w:color w:val="000000"/>
                <w:lang w:eastAsia="en-AU"/>
              </w:rPr>
              <w:t>4.37***</w:t>
            </w:r>
          </w:p>
        </w:tc>
        <w:tc>
          <w:tcPr>
            <w:tcW w:w="617" w:type="pct"/>
            <w:gridSpan w:val="2"/>
          </w:tcPr>
          <w:p w14:paraId="0BD220E1" w14:textId="77777777" w:rsidR="005C670F" w:rsidRPr="00947197" w:rsidRDefault="005C670F" w:rsidP="00F37D0D">
            <w:pPr>
              <w:pStyle w:val="Tabletext"/>
              <w:rPr>
                <w:color w:val="000000"/>
                <w:lang w:eastAsia="en-AU"/>
              </w:rPr>
            </w:pPr>
            <w:r w:rsidRPr="00947197">
              <w:rPr>
                <w:color w:val="000000"/>
                <w:lang w:eastAsia="en-AU"/>
              </w:rPr>
              <w:t>0.55</w:t>
            </w:r>
          </w:p>
        </w:tc>
        <w:tc>
          <w:tcPr>
            <w:tcW w:w="690" w:type="pct"/>
            <w:gridSpan w:val="2"/>
          </w:tcPr>
          <w:p w14:paraId="17440DEA" w14:textId="77777777" w:rsidR="005C670F" w:rsidRPr="00947197" w:rsidRDefault="005C670F" w:rsidP="00F37D0D">
            <w:pPr>
              <w:pStyle w:val="Tabletext"/>
              <w:rPr>
                <w:color w:val="000000"/>
                <w:lang w:eastAsia="en-AU"/>
              </w:rPr>
            </w:pPr>
            <w:r w:rsidRPr="00947197">
              <w:rPr>
                <w:color w:val="000000"/>
                <w:lang w:eastAsia="en-AU"/>
              </w:rPr>
              <w:t>6.08***</w:t>
            </w:r>
          </w:p>
        </w:tc>
        <w:tc>
          <w:tcPr>
            <w:tcW w:w="531" w:type="pct"/>
            <w:gridSpan w:val="3"/>
          </w:tcPr>
          <w:p w14:paraId="28D68A00" w14:textId="77777777" w:rsidR="005C670F" w:rsidRPr="00947197" w:rsidRDefault="005C670F" w:rsidP="00F37D0D">
            <w:pPr>
              <w:pStyle w:val="Tabletext"/>
              <w:rPr>
                <w:color w:val="000000"/>
                <w:lang w:eastAsia="en-AU"/>
              </w:rPr>
            </w:pPr>
            <w:r w:rsidRPr="00947197">
              <w:rPr>
                <w:color w:val="000000"/>
                <w:lang w:eastAsia="en-AU"/>
              </w:rPr>
              <w:t>0.86</w:t>
            </w:r>
          </w:p>
        </w:tc>
      </w:tr>
      <w:tr w:rsidR="00947197" w:rsidRPr="00947197" w14:paraId="7B119DC3" w14:textId="77777777" w:rsidTr="00D2715F">
        <w:trPr>
          <w:gridAfter w:val="1"/>
          <w:wAfter w:w="35" w:type="pct"/>
          <w:trHeight w:val="300"/>
        </w:trPr>
        <w:tc>
          <w:tcPr>
            <w:tcW w:w="1165" w:type="pct"/>
            <w:noWrap/>
          </w:tcPr>
          <w:p w14:paraId="3C54B2F9" w14:textId="77777777" w:rsidR="005C670F" w:rsidRPr="00947197" w:rsidRDefault="005C670F" w:rsidP="00F37D0D">
            <w:pPr>
              <w:pStyle w:val="Tabletext"/>
              <w:rPr>
                <w:color w:val="000000"/>
              </w:rPr>
            </w:pPr>
            <w:r w:rsidRPr="00947197">
              <w:rPr>
                <w:color w:val="000000"/>
              </w:rPr>
              <w:t>n=</w:t>
            </w:r>
          </w:p>
        </w:tc>
        <w:tc>
          <w:tcPr>
            <w:tcW w:w="714" w:type="pct"/>
            <w:gridSpan w:val="2"/>
            <w:noWrap/>
          </w:tcPr>
          <w:p w14:paraId="1862E0E3" w14:textId="11E28F63" w:rsidR="005C670F" w:rsidRPr="00947197" w:rsidRDefault="005C670F" w:rsidP="00F37D0D">
            <w:pPr>
              <w:pStyle w:val="Tabletext"/>
              <w:rPr>
                <w:color w:val="000000"/>
                <w:lang w:eastAsia="en-AU"/>
              </w:rPr>
            </w:pPr>
            <w:r w:rsidRPr="00947197">
              <w:rPr>
                <w:color w:val="000000"/>
                <w:lang w:eastAsia="en-AU"/>
              </w:rPr>
              <w:t>5</w:t>
            </w:r>
            <w:r w:rsidR="00284783">
              <w:rPr>
                <w:color w:val="000000"/>
                <w:lang w:eastAsia="en-AU"/>
              </w:rPr>
              <w:t xml:space="preserve"> </w:t>
            </w:r>
            <w:r w:rsidRPr="00947197">
              <w:rPr>
                <w:color w:val="000000"/>
                <w:lang w:eastAsia="en-AU"/>
              </w:rPr>
              <w:t>787</w:t>
            </w:r>
          </w:p>
        </w:tc>
        <w:tc>
          <w:tcPr>
            <w:tcW w:w="534" w:type="pct"/>
          </w:tcPr>
          <w:p w14:paraId="245A238E" w14:textId="77777777" w:rsidR="005C670F" w:rsidRPr="00947197" w:rsidRDefault="005C670F" w:rsidP="00F37D0D">
            <w:pPr>
              <w:pStyle w:val="Tabletext"/>
              <w:rPr>
                <w:color w:val="000000"/>
                <w:lang w:eastAsia="en-AU"/>
              </w:rPr>
            </w:pPr>
          </w:p>
        </w:tc>
        <w:tc>
          <w:tcPr>
            <w:tcW w:w="714" w:type="pct"/>
            <w:gridSpan w:val="2"/>
          </w:tcPr>
          <w:p w14:paraId="3112D62E" w14:textId="5B5B1189" w:rsidR="005C670F" w:rsidRPr="00947197" w:rsidRDefault="005C670F" w:rsidP="00F37D0D">
            <w:pPr>
              <w:pStyle w:val="Tabletext"/>
              <w:rPr>
                <w:color w:val="000000"/>
                <w:lang w:eastAsia="en-AU"/>
              </w:rPr>
            </w:pPr>
            <w:r w:rsidRPr="00947197">
              <w:rPr>
                <w:color w:val="000000"/>
                <w:lang w:eastAsia="en-AU"/>
              </w:rPr>
              <w:t>5</w:t>
            </w:r>
            <w:r w:rsidR="00284783">
              <w:rPr>
                <w:color w:val="000000"/>
                <w:lang w:eastAsia="en-AU"/>
              </w:rPr>
              <w:t xml:space="preserve"> </w:t>
            </w:r>
            <w:r w:rsidRPr="00947197">
              <w:rPr>
                <w:color w:val="000000"/>
                <w:lang w:eastAsia="en-AU"/>
              </w:rPr>
              <w:t>787</w:t>
            </w:r>
          </w:p>
        </w:tc>
        <w:tc>
          <w:tcPr>
            <w:tcW w:w="617" w:type="pct"/>
            <w:gridSpan w:val="2"/>
          </w:tcPr>
          <w:p w14:paraId="3AAF6326" w14:textId="77777777" w:rsidR="005C670F" w:rsidRPr="00947197" w:rsidRDefault="005C670F" w:rsidP="00F37D0D">
            <w:pPr>
              <w:pStyle w:val="Tabletext"/>
              <w:rPr>
                <w:color w:val="000000"/>
                <w:lang w:eastAsia="en-AU"/>
              </w:rPr>
            </w:pPr>
          </w:p>
        </w:tc>
        <w:tc>
          <w:tcPr>
            <w:tcW w:w="690" w:type="pct"/>
            <w:gridSpan w:val="2"/>
          </w:tcPr>
          <w:p w14:paraId="757B8ABC" w14:textId="4FBC9D12" w:rsidR="005C670F" w:rsidRPr="00947197" w:rsidRDefault="005C670F" w:rsidP="00F37D0D">
            <w:pPr>
              <w:pStyle w:val="Tabletext"/>
              <w:rPr>
                <w:color w:val="000000"/>
                <w:lang w:eastAsia="en-AU"/>
              </w:rPr>
            </w:pPr>
            <w:r w:rsidRPr="00947197">
              <w:rPr>
                <w:color w:val="000000"/>
                <w:lang w:eastAsia="en-AU"/>
              </w:rPr>
              <w:t>5</w:t>
            </w:r>
            <w:r w:rsidR="00284783">
              <w:rPr>
                <w:color w:val="000000"/>
                <w:lang w:eastAsia="en-AU"/>
              </w:rPr>
              <w:t xml:space="preserve"> </w:t>
            </w:r>
            <w:r w:rsidRPr="00947197">
              <w:rPr>
                <w:color w:val="000000"/>
                <w:lang w:eastAsia="en-AU"/>
              </w:rPr>
              <w:t>787</w:t>
            </w:r>
          </w:p>
        </w:tc>
        <w:tc>
          <w:tcPr>
            <w:tcW w:w="531" w:type="pct"/>
            <w:gridSpan w:val="3"/>
          </w:tcPr>
          <w:p w14:paraId="1F8637A6" w14:textId="77777777" w:rsidR="005C670F" w:rsidRPr="00947197" w:rsidRDefault="005C670F" w:rsidP="00F37D0D">
            <w:pPr>
              <w:pStyle w:val="Tabletext"/>
              <w:rPr>
                <w:color w:val="000000"/>
                <w:lang w:eastAsia="en-AU"/>
              </w:rPr>
            </w:pPr>
          </w:p>
        </w:tc>
      </w:tr>
      <w:tr w:rsidR="00947197" w:rsidRPr="00947197" w14:paraId="3BBDC93D" w14:textId="77777777" w:rsidTr="00D2715F">
        <w:trPr>
          <w:gridAfter w:val="1"/>
          <w:wAfter w:w="35" w:type="pct"/>
          <w:trHeight w:val="300"/>
        </w:trPr>
        <w:tc>
          <w:tcPr>
            <w:tcW w:w="1165" w:type="pct"/>
            <w:noWrap/>
          </w:tcPr>
          <w:p w14:paraId="6DDE4676" w14:textId="77777777" w:rsidR="005C670F" w:rsidRPr="00947197" w:rsidRDefault="005C670F" w:rsidP="00F37D0D">
            <w:pPr>
              <w:pStyle w:val="Tabletext"/>
              <w:rPr>
                <w:color w:val="000000"/>
              </w:rPr>
            </w:pPr>
            <w:r w:rsidRPr="00947197">
              <w:rPr>
                <w:color w:val="000000"/>
              </w:rPr>
              <w:t xml:space="preserve">Adjusted R-squared </w:t>
            </w:r>
          </w:p>
        </w:tc>
        <w:tc>
          <w:tcPr>
            <w:tcW w:w="714" w:type="pct"/>
            <w:gridSpan w:val="2"/>
            <w:noWrap/>
          </w:tcPr>
          <w:p w14:paraId="03420A31" w14:textId="77777777" w:rsidR="005C670F" w:rsidRPr="00947197" w:rsidRDefault="005C670F" w:rsidP="00F37D0D">
            <w:pPr>
              <w:pStyle w:val="Tabletext"/>
              <w:rPr>
                <w:color w:val="000000"/>
                <w:lang w:eastAsia="en-AU"/>
              </w:rPr>
            </w:pPr>
            <w:r w:rsidRPr="00947197">
              <w:rPr>
                <w:color w:val="000000"/>
                <w:lang w:eastAsia="en-AU"/>
              </w:rPr>
              <w:t>0.1970</w:t>
            </w:r>
          </w:p>
        </w:tc>
        <w:tc>
          <w:tcPr>
            <w:tcW w:w="534" w:type="pct"/>
          </w:tcPr>
          <w:p w14:paraId="178DADE1" w14:textId="77777777" w:rsidR="005C670F" w:rsidRPr="00947197" w:rsidRDefault="005C670F" w:rsidP="00F37D0D">
            <w:pPr>
              <w:pStyle w:val="Tabletext"/>
              <w:rPr>
                <w:color w:val="000000"/>
                <w:lang w:eastAsia="en-AU"/>
              </w:rPr>
            </w:pPr>
          </w:p>
        </w:tc>
        <w:tc>
          <w:tcPr>
            <w:tcW w:w="714" w:type="pct"/>
            <w:gridSpan w:val="2"/>
          </w:tcPr>
          <w:p w14:paraId="31544D6F" w14:textId="77777777" w:rsidR="005C670F" w:rsidRPr="00947197" w:rsidRDefault="005C670F" w:rsidP="00F37D0D">
            <w:pPr>
              <w:pStyle w:val="Tabletext"/>
              <w:rPr>
                <w:color w:val="000000"/>
                <w:lang w:eastAsia="en-AU"/>
              </w:rPr>
            </w:pPr>
            <w:r w:rsidRPr="00947197">
              <w:rPr>
                <w:color w:val="000000"/>
                <w:lang w:eastAsia="en-AU"/>
              </w:rPr>
              <w:t>0.2012</w:t>
            </w:r>
          </w:p>
        </w:tc>
        <w:tc>
          <w:tcPr>
            <w:tcW w:w="617" w:type="pct"/>
            <w:gridSpan w:val="2"/>
          </w:tcPr>
          <w:p w14:paraId="0A2B6AC0" w14:textId="77777777" w:rsidR="005C670F" w:rsidRPr="00947197" w:rsidRDefault="005C670F" w:rsidP="00F37D0D">
            <w:pPr>
              <w:pStyle w:val="Tabletext"/>
              <w:rPr>
                <w:color w:val="000000"/>
                <w:lang w:eastAsia="en-AU"/>
              </w:rPr>
            </w:pPr>
          </w:p>
        </w:tc>
        <w:tc>
          <w:tcPr>
            <w:tcW w:w="690" w:type="pct"/>
            <w:gridSpan w:val="2"/>
          </w:tcPr>
          <w:p w14:paraId="3EAB0FE8" w14:textId="77777777" w:rsidR="005C670F" w:rsidRPr="00947197" w:rsidRDefault="005C670F" w:rsidP="00F37D0D">
            <w:pPr>
              <w:pStyle w:val="Tabletext"/>
              <w:rPr>
                <w:color w:val="000000"/>
                <w:lang w:eastAsia="en-AU"/>
              </w:rPr>
            </w:pPr>
            <w:r w:rsidRPr="00947197">
              <w:rPr>
                <w:color w:val="000000"/>
                <w:lang w:eastAsia="en-AU"/>
              </w:rPr>
              <w:t>0.2145</w:t>
            </w:r>
          </w:p>
        </w:tc>
        <w:tc>
          <w:tcPr>
            <w:tcW w:w="531" w:type="pct"/>
            <w:gridSpan w:val="3"/>
          </w:tcPr>
          <w:p w14:paraId="438E0E0C" w14:textId="77777777" w:rsidR="005C670F" w:rsidRPr="00947197" w:rsidRDefault="005C670F" w:rsidP="00F37D0D">
            <w:pPr>
              <w:pStyle w:val="Tabletext"/>
              <w:rPr>
                <w:color w:val="000000"/>
                <w:lang w:eastAsia="en-AU"/>
              </w:rPr>
            </w:pPr>
          </w:p>
        </w:tc>
      </w:tr>
    </w:tbl>
    <w:p w14:paraId="7ADDEBB1" w14:textId="6824F853" w:rsidR="005C670F" w:rsidRPr="001B3FB6" w:rsidRDefault="005C670F" w:rsidP="00947197">
      <w:pPr>
        <w:pStyle w:val="Source"/>
      </w:pPr>
      <w:r>
        <w:t>*p&lt;0.05; **p&lt;0.01; ***p&lt;0.001</w:t>
      </w:r>
      <w:r w:rsidR="001A7B3C">
        <w:t>.</w:t>
      </w:r>
    </w:p>
    <w:p w14:paraId="2EA7F0E5" w14:textId="77777777" w:rsidR="005C670F" w:rsidRDefault="005C670F" w:rsidP="005C670F">
      <w:pPr>
        <w:pStyle w:val="Heading2"/>
      </w:pPr>
      <w:bookmarkStart w:id="96" w:name="_Toc15048901"/>
      <w:bookmarkStart w:id="97" w:name="_Toc19803914"/>
      <w:r>
        <w:t>Summary</w:t>
      </w:r>
      <w:bookmarkEnd w:id="96"/>
      <w:bookmarkEnd w:id="97"/>
    </w:p>
    <w:p w14:paraId="7BD143F3" w14:textId="160A8198" w:rsidR="005C670F" w:rsidRPr="00F042DC" w:rsidRDefault="005C670F" w:rsidP="00EE6C69">
      <w:pPr>
        <w:pStyle w:val="Text"/>
      </w:pPr>
      <w:r>
        <w:t>The persistence of inequalities according to family SES and school SES shines a light on structural inequalities that persist within Australian education systems</w:t>
      </w:r>
      <w:r w:rsidR="000312A2">
        <w:t>,</w:t>
      </w:r>
      <w:r>
        <w:t xml:space="preserve"> despite the provision of 12 years of free education. The results presented in this paper show that low</w:t>
      </w:r>
      <w:r w:rsidR="000A7B88">
        <w:t>-</w:t>
      </w:r>
      <w:r>
        <w:t>SES students attending high</w:t>
      </w:r>
      <w:r w:rsidR="000A7B88">
        <w:t>-</w:t>
      </w:r>
      <w:r>
        <w:t xml:space="preserve">SES schools had higher levels of academic achievement at age 15 </w:t>
      </w:r>
      <w:r w:rsidR="000A7B88">
        <w:t xml:space="preserve">years </w:t>
      </w:r>
      <w:r>
        <w:t>than low</w:t>
      </w:r>
      <w:r w:rsidR="000A7B88">
        <w:t>-</w:t>
      </w:r>
      <w:r>
        <w:t>SES students attending low</w:t>
      </w:r>
      <w:r w:rsidR="007144B9">
        <w:t>-</w:t>
      </w:r>
      <w:r>
        <w:t xml:space="preserve">SES schools, providing support for resource compensation theory (Parcel, </w:t>
      </w:r>
      <w:proofErr w:type="spellStart"/>
      <w:r>
        <w:t>Dufur</w:t>
      </w:r>
      <w:proofErr w:type="spellEnd"/>
      <w:r>
        <w:t xml:space="preserve"> &amp; Zito 2010). After controlling for levels of academic achievement at age 15 </w:t>
      </w:r>
      <w:r w:rsidR="00125E47">
        <w:t xml:space="preserve">years </w:t>
      </w:r>
      <w:r>
        <w:t>and sex, student</w:t>
      </w:r>
      <w:r w:rsidR="004C20A9">
        <w:t>-</w:t>
      </w:r>
      <w:r>
        <w:t>level SES was positively correlated with university enrolment. High</w:t>
      </w:r>
      <w:r w:rsidR="004C20A9">
        <w:t>-</w:t>
      </w:r>
      <w:r>
        <w:t>SES students attending low</w:t>
      </w:r>
      <w:r w:rsidR="004C20A9">
        <w:t>-</w:t>
      </w:r>
      <w:r>
        <w:t>SES schools were only half as likely as high</w:t>
      </w:r>
      <w:r w:rsidR="00125E47">
        <w:t>-</w:t>
      </w:r>
      <w:r>
        <w:t>SES students attending high</w:t>
      </w:r>
      <w:r w:rsidR="00125E47">
        <w:t>-</w:t>
      </w:r>
      <w:r>
        <w:t>SES schools to enrol in a bachelor</w:t>
      </w:r>
      <w:r w:rsidR="00125E47">
        <w:t>’s</w:t>
      </w:r>
      <w:r>
        <w:t xml:space="preserve"> degree program even if they had similar PISA scores. Summing up, the results presented here provide further evidence of the importance of the learning environment both at home and at school (Parcel &amp; </w:t>
      </w:r>
      <w:proofErr w:type="spellStart"/>
      <w:r>
        <w:t>Dufur</w:t>
      </w:r>
      <w:proofErr w:type="spellEnd"/>
      <w:r>
        <w:t xml:space="preserve"> 2009).</w:t>
      </w:r>
    </w:p>
    <w:p w14:paraId="2628BB6A" w14:textId="77777777" w:rsidR="005C670F" w:rsidRDefault="005C670F" w:rsidP="00FB751C">
      <w:pPr>
        <w:pStyle w:val="Heading2"/>
        <w:spacing w:after="240"/>
      </w:pPr>
      <w:bookmarkStart w:id="98" w:name="_Toc15048902"/>
      <w:bookmarkStart w:id="99" w:name="_Toc19803915"/>
      <w:r>
        <w:t>References</w:t>
      </w:r>
      <w:bookmarkEnd w:id="98"/>
      <w:bookmarkEnd w:id="99"/>
    </w:p>
    <w:p w14:paraId="03AA87FC" w14:textId="23B34122" w:rsidR="005C670F" w:rsidRPr="00585A6F" w:rsidRDefault="005C670F" w:rsidP="00FB751C">
      <w:pPr>
        <w:pStyle w:val="References"/>
      </w:pPr>
      <w:r>
        <w:t xml:space="preserve">Department of Education and Training 2015, </w:t>
      </w:r>
      <w:r>
        <w:rPr>
          <w:i/>
        </w:rPr>
        <w:t>Longitudinal Surveys of Australian Youth, 2009 cohort: study documentation</w:t>
      </w:r>
      <w:r>
        <w:t>, Canberra, Australian Government.</w:t>
      </w:r>
    </w:p>
    <w:p w14:paraId="402F840C" w14:textId="39F6DF78" w:rsidR="005C670F" w:rsidRPr="00585A6F" w:rsidRDefault="005C670F" w:rsidP="00FB751C">
      <w:pPr>
        <w:pStyle w:val="References"/>
      </w:pPr>
      <w:r>
        <w:t xml:space="preserve">Bourdieu, P 1986, ‘The forms of capital’, in </w:t>
      </w:r>
      <w:r w:rsidR="00B01DE9">
        <w:t xml:space="preserve">JG Richardson (ed.), </w:t>
      </w:r>
      <w:r>
        <w:rPr>
          <w:i/>
        </w:rPr>
        <w:t xml:space="preserve">Handbook of </w:t>
      </w:r>
      <w:r w:rsidR="00B01DE9">
        <w:rPr>
          <w:i/>
        </w:rPr>
        <w:t>theory and research for the sociology of education</w:t>
      </w:r>
      <w:r>
        <w:t xml:space="preserve">, </w:t>
      </w:r>
      <w:r w:rsidR="00B01DE9">
        <w:t xml:space="preserve">Greenwood Press, </w:t>
      </w:r>
      <w:r>
        <w:t>New York, pp. 241</w:t>
      </w:r>
      <w:r w:rsidR="00B01DE9">
        <w:t>−</w:t>
      </w:r>
      <w:r>
        <w:t>58.</w:t>
      </w:r>
    </w:p>
    <w:p w14:paraId="79E98E5B" w14:textId="1602AF3E" w:rsidR="005C670F" w:rsidRPr="00585A6F" w:rsidRDefault="005C670F" w:rsidP="00FB751C">
      <w:pPr>
        <w:pStyle w:val="References"/>
      </w:pPr>
      <w:r>
        <w:t>Chesters, J 201</w:t>
      </w:r>
      <w:r w:rsidR="00410138">
        <w:t>9</w:t>
      </w:r>
      <w:r>
        <w:t xml:space="preserve">, ‘Alleviating or exacerbating disadvantage: does school attended mediate the association between family background and educational attainment?’, </w:t>
      </w:r>
      <w:r>
        <w:rPr>
          <w:i/>
        </w:rPr>
        <w:t>Journal of Education Policy</w:t>
      </w:r>
      <w:r>
        <w:t>,</w:t>
      </w:r>
      <w:r w:rsidR="00DB349B">
        <w:t xml:space="preserve"> vol. 34,</w:t>
      </w:r>
      <w:r w:rsidR="00877949">
        <w:t xml:space="preserve"> no. 3,</w:t>
      </w:r>
      <w:r w:rsidR="00DB349B">
        <w:t xml:space="preserve"> pp. 331-350.</w:t>
      </w:r>
      <w:r>
        <w:t xml:space="preserve"> DOI: 10.1080/02</w:t>
      </w:r>
      <w:r w:rsidR="00725D79">
        <w:t>6</w:t>
      </w:r>
      <w:r>
        <w:t>80939.2018.1488001.</w:t>
      </w:r>
    </w:p>
    <w:p w14:paraId="10073CA3" w14:textId="231172AC" w:rsidR="005C670F" w:rsidRPr="00585A6F" w:rsidRDefault="005C670F" w:rsidP="00FB751C">
      <w:pPr>
        <w:pStyle w:val="References"/>
      </w:pPr>
      <w:r>
        <w:t xml:space="preserve">Lareau, A 2011, </w:t>
      </w:r>
      <w:r>
        <w:rPr>
          <w:i/>
        </w:rPr>
        <w:t xml:space="preserve">Unequal childhoods: race, class and family life, </w:t>
      </w:r>
      <w:r w:rsidRPr="00D06091">
        <w:t>second edition with an update a decade later</w:t>
      </w:r>
      <w:r>
        <w:t>, University of California Press</w:t>
      </w:r>
      <w:r w:rsidR="00B01DE9">
        <w:t>,</w:t>
      </w:r>
      <w:r w:rsidR="00B01DE9" w:rsidRPr="00B01DE9">
        <w:t xml:space="preserve"> </w:t>
      </w:r>
      <w:r w:rsidR="00B01DE9">
        <w:t>California.</w:t>
      </w:r>
    </w:p>
    <w:p w14:paraId="00ADEB32" w14:textId="7225A3BB" w:rsidR="005C670F" w:rsidRPr="00585A6F" w:rsidRDefault="005C670F" w:rsidP="00FB751C">
      <w:pPr>
        <w:pStyle w:val="References"/>
      </w:pPr>
      <w:r>
        <w:t xml:space="preserve">Parcel, TL &amp; </w:t>
      </w:r>
      <w:proofErr w:type="spellStart"/>
      <w:r>
        <w:t>Dufur</w:t>
      </w:r>
      <w:proofErr w:type="spellEnd"/>
      <w:r>
        <w:t xml:space="preserve">, M J 2009, ‘Family and school capital explaining regional variation in math and reading achievement’, </w:t>
      </w:r>
      <w:r>
        <w:rPr>
          <w:i/>
        </w:rPr>
        <w:t>Research in Social Stratifica</w:t>
      </w:r>
      <w:r w:rsidR="00CB365A">
        <w:rPr>
          <w:i/>
        </w:rPr>
        <w:t>ti</w:t>
      </w:r>
      <w:r>
        <w:rPr>
          <w:i/>
        </w:rPr>
        <w:t>on and Mobility</w:t>
      </w:r>
      <w:r>
        <w:t>, vol.27, pp.157</w:t>
      </w:r>
      <w:r w:rsidR="00B01DE9">
        <w:t>−</w:t>
      </w:r>
      <w:r>
        <w:t>76.</w:t>
      </w:r>
    </w:p>
    <w:p w14:paraId="2B249690" w14:textId="298C3C70" w:rsidR="005C670F" w:rsidRDefault="005C670F" w:rsidP="00FB751C">
      <w:pPr>
        <w:pStyle w:val="References"/>
      </w:pPr>
      <w:r>
        <w:t xml:space="preserve">Parcel, TL, </w:t>
      </w:r>
      <w:proofErr w:type="spellStart"/>
      <w:r>
        <w:t>Dufur</w:t>
      </w:r>
      <w:proofErr w:type="spellEnd"/>
      <w:r>
        <w:t xml:space="preserve">, M J &amp; Zito, R C 2010, ‘Capital at home and at school: a review and synthesis’, </w:t>
      </w:r>
      <w:r>
        <w:rPr>
          <w:i/>
        </w:rPr>
        <w:t>Journal of Marriage and Family</w:t>
      </w:r>
      <w:r>
        <w:t>, vol.72, p</w:t>
      </w:r>
      <w:r w:rsidR="00F04234">
        <w:t>p</w:t>
      </w:r>
      <w:r>
        <w:t>. 828</w:t>
      </w:r>
      <w:r w:rsidR="00C86E81">
        <w:t>−</w:t>
      </w:r>
      <w:r>
        <w:t>84.</w:t>
      </w:r>
    </w:p>
    <w:p w14:paraId="35B0CB09" w14:textId="77777777" w:rsidR="005C670F" w:rsidRDefault="005C670F" w:rsidP="005C670F">
      <w:r>
        <w:br w:type="page"/>
      </w:r>
    </w:p>
    <w:p w14:paraId="2ACD40BE" w14:textId="477114E9" w:rsidR="000F5784" w:rsidRDefault="00AA2692" w:rsidP="00E612BF">
      <w:pPr>
        <w:pStyle w:val="Heading1"/>
      </w:pPr>
      <w:bookmarkStart w:id="100" w:name="_Toc19803916"/>
      <w:r>
        <w:lastRenderedPageBreak/>
        <w:t xml:space="preserve">Section </w:t>
      </w:r>
      <w:r w:rsidR="004D59CF">
        <w:t>3</w:t>
      </w:r>
      <w:r>
        <w:t>: VET in Schools</w:t>
      </w:r>
      <w:bookmarkEnd w:id="100"/>
    </w:p>
    <w:p w14:paraId="4270733C" w14:textId="1F709F0F" w:rsidR="00AA2692" w:rsidRPr="00B44E57" w:rsidRDefault="0063245B" w:rsidP="00324917">
      <w:pPr>
        <w:pStyle w:val="Text"/>
      </w:pPr>
      <w:bookmarkStart w:id="101" w:name="_Hlk20148757"/>
      <w:r w:rsidRPr="00B44E57">
        <w:t>An</w:t>
      </w:r>
      <w:r w:rsidR="00732712" w:rsidRPr="00B44E57">
        <w:t xml:space="preserve"> area of considerable interest in the</w:t>
      </w:r>
      <w:r w:rsidR="00525913" w:rsidRPr="00B44E57">
        <w:t xml:space="preserve"> Longitudinal Surveys of Australian Youth</w:t>
      </w:r>
      <w:r w:rsidR="00732712" w:rsidRPr="00B44E57">
        <w:t xml:space="preserve"> </w:t>
      </w:r>
      <w:r w:rsidR="00525913" w:rsidRPr="00B44E57">
        <w:t>(</w:t>
      </w:r>
      <w:r w:rsidR="00732712" w:rsidRPr="00B44E57">
        <w:t>LSAY</w:t>
      </w:r>
      <w:r w:rsidR="00525913" w:rsidRPr="00B44E57">
        <w:t>)</w:t>
      </w:r>
      <w:r w:rsidR="00732712" w:rsidRPr="00B44E57">
        <w:t xml:space="preserve"> data has been rates of participation in </w:t>
      </w:r>
      <w:r w:rsidR="00902D78" w:rsidRPr="00B44E57">
        <w:t>vocational education and training (</w:t>
      </w:r>
      <w:r w:rsidR="00732712" w:rsidRPr="00B44E57">
        <w:t>VET</w:t>
      </w:r>
      <w:r w:rsidR="00902D78" w:rsidRPr="00B44E57">
        <w:t>)</w:t>
      </w:r>
      <w:r w:rsidR="00732712" w:rsidRPr="00B44E57">
        <w:t xml:space="preserve"> or VET</w:t>
      </w:r>
      <w:r w:rsidRPr="00B44E57">
        <w:t xml:space="preserve"> in Schools</w:t>
      </w:r>
      <w:r w:rsidR="00B46BE3" w:rsidRPr="00B44E57">
        <w:t xml:space="preserve"> (VETiS)</w:t>
      </w:r>
      <w:r w:rsidR="00732712" w:rsidRPr="00B44E57">
        <w:t>.</w:t>
      </w:r>
      <w:r w:rsidRPr="00B44E57">
        <w:t xml:space="preserve"> </w:t>
      </w:r>
      <w:bookmarkEnd w:id="101"/>
      <w:r w:rsidRPr="00B44E57">
        <w:t>VET programs are intended to broaden the range of curriculum offerings in Australian schools and to offer alternat</w:t>
      </w:r>
      <w:r w:rsidR="001F2F38" w:rsidRPr="00B44E57">
        <w:t>ive</w:t>
      </w:r>
      <w:r w:rsidRPr="00B44E57">
        <w:t xml:space="preserve"> pathways to work or tertiary education (Fullarton 2001).</w:t>
      </w:r>
      <w:r w:rsidR="00732712" w:rsidRPr="00B44E57">
        <w:t xml:space="preserve"> </w:t>
      </w:r>
      <w:r w:rsidR="002816C1" w:rsidRPr="00B44E57">
        <w:t>LSAY data ha</w:t>
      </w:r>
      <w:r w:rsidR="001F2F38" w:rsidRPr="00B44E57">
        <w:t>ve</w:t>
      </w:r>
      <w:r w:rsidR="002816C1" w:rsidRPr="00B44E57">
        <w:t xml:space="preserve"> shown that participation in VET in </w:t>
      </w:r>
      <w:r w:rsidR="001F2F38" w:rsidRPr="00B44E57">
        <w:t>S</w:t>
      </w:r>
      <w:r w:rsidR="002816C1" w:rsidRPr="00B44E57">
        <w:t xml:space="preserve">chools does not necessarily increase the completion of </w:t>
      </w:r>
      <w:r w:rsidR="001F2F38" w:rsidRPr="00B44E57">
        <w:t>Y</w:t>
      </w:r>
      <w:r w:rsidR="002816C1" w:rsidRPr="00B44E57">
        <w:t xml:space="preserve">ear 12, but </w:t>
      </w:r>
      <w:r w:rsidR="001F2F38" w:rsidRPr="00B44E57">
        <w:t xml:space="preserve">it </w:t>
      </w:r>
      <w:r w:rsidR="002816C1" w:rsidRPr="00B44E57">
        <w:t>does have positive effects on attitudes towards schools (Nguyen 2010)</w:t>
      </w:r>
      <w:r w:rsidR="007D4DB8" w:rsidRPr="00B44E57">
        <w:t xml:space="preserve">. On a positive note, VET is seen as </w:t>
      </w:r>
      <w:r w:rsidR="00B615BD" w:rsidRPr="00B44E57">
        <w:t>providing</w:t>
      </w:r>
      <w:r w:rsidR="007D4DB8" w:rsidRPr="00B44E57">
        <w:t xml:space="preserve"> a practical and work-related learning to students, although it is seen negatively in terms of its value, prestige and importance (Gore et al. 2017), and students show higher interest in VET-related employment prospects than studying VET as part of post</w:t>
      </w:r>
      <w:r w:rsidR="00BB728E" w:rsidRPr="00B44E57">
        <w:t>-</w:t>
      </w:r>
      <w:r w:rsidR="007D4DB8" w:rsidRPr="00B44E57">
        <w:t xml:space="preserve">secondary school pathways (Hargreaves &amp; Osborne 2017). </w:t>
      </w:r>
      <w:r w:rsidR="00BB728E" w:rsidRPr="00B44E57">
        <w:t>There is also a negative association</w:t>
      </w:r>
      <w:r w:rsidR="009C2E7C" w:rsidRPr="00B44E57">
        <w:t>,</w:t>
      </w:r>
      <w:r w:rsidR="00BB728E" w:rsidRPr="00B44E57">
        <w:t xml:space="preserve"> with VET </w:t>
      </w:r>
      <w:proofErr w:type="gramStart"/>
      <w:r w:rsidR="00BB728E" w:rsidRPr="00B44E57">
        <w:t>being seen as</w:t>
      </w:r>
      <w:proofErr w:type="gramEnd"/>
      <w:r w:rsidR="00BB728E" w:rsidRPr="00B44E57">
        <w:t xml:space="preserve"> for those with lower academic ability</w:t>
      </w:r>
      <w:r w:rsidR="00902D78" w:rsidRPr="00B44E57">
        <w:t>;</w:t>
      </w:r>
      <w:r w:rsidR="00BB728E" w:rsidRPr="00B44E57">
        <w:t xml:space="preserve"> students with peers of higher academic ability are more likely to enrol in non-vocational education after school (Hedges &amp; </w:t>
      </w:r>
      <w:proofErr w:type="spellStart"/>
      <w:r w:rsidR="00BB728E" w:rsidRPr="00B44E57">
        <w:t>Speckesser</w:t>
      </w:r>
      <w:proofErr w:type="spellEnd"/>
      <w:r w:rsidR="00BB728E" w:rsidRPr="00B44E57">
        <w:t xml:space="preserve"> 2017). </w:t>
      </w:r>
    </w:p>
    <w:p w14:paraId="76D96B5D" w14:textId="7A32FADA" w:rsidR="00BB728E" w:rsidRPr="00B44E57" w:rsidRDefault="00BB728E" w:rsidP="00BB728E">
      <w:pPr>
        <w:pStyle w:val="Text"/>
      </w:pPr>
      <w:r w:rsidRPr="00B44E57">
        <w:t>In 201</w:t>
      </w:r>
      <w:r w:rsidR="00A11B0C">
        <w:t>8</w:t>
      </w:r>
      <w:r w:rsidRPr="00B44E57">
        <w:t xml:space="preserve">, there were </w:t>
      </w:r>
      <w:r w:rsidR="00AF66CA" w:rsidRPr="00AF66CA">
        <w:t>230 700</w:t>
      </w:r>
      <w:r w:rsidR="00AF66CA">
        <w:t xml:space="preserve"> </w:t>
      </w:r>
      <w:r w:rsidRPr="00B44E57">
        <w:t xml:space="preserve">students undertaking VET in </w:t>
      </w:r>
      <w:r w:rsidR="008A2587" w:rsidRPr="00B44E57">
        <w:t>S</w:t>
      </w:r>
      <w:r w:rsidRPr="00B44E57">
        <w:t>chools</w:t>
      </w:r>
      <w:r w:rsidR="00AF66CA">
        <w:t xml:space="preserve"> (NCVER 2019)</w:t>
      </w:r>
      <w:r w:rsidRPr="00B44E57">
        <w:t xml:space="preserve">. Of that figure, </w:t>
      </w:r>
      <w:r w:rsidR="00AF66CA" w:rsidRPr="00AF66CA">
        <w:t>18 200</w:t>
      </w:r>
      <w:r w:rsidR="00AF66CA">
        <w:t xml:space="preserve"> </w:t>
      </w:r>
      <w:r w:rsidRPr="00B44E57">
        <w:t xml:space="preserve">were school-based apprentices and trainees (making up </w:t>
      </w:r>
      <w:r w:rsidR="00AF66CA" w:rsidRPr="00AF66CA">
        <w:t>7.9%</w:t>
      </w:r>
      <w:r w:rsidR="00AF66CA">
        <w:t xml:space="preserve"> </w:t>
      </w:r>
      <w:r w:rsidRPr="00B44E57">
        <w:t>of all VETi</w:t>
      </w:r>
      <w:r w:rsidR="006D4F61" w:rsidRPr="00B44E57">
        <w:t>S</w:t>
      </w:r>
      <w:r w:rsidRPr="00B44E57">
        <w:t xml:space="preserve"> students) and</w:t>
      </w:r>
      <w:r w:rsidR="00AF66CA">
        <w:t xml:space="preserve"> </w:t>
      </w:r>
      <w:r w:rsidR="00AF66CA" w:rsidRPr="00AF66CA">
        <w:t>212</w:t>
      </w:r>
      <w:r w:rsidR="00AF66CA">
        <w:t xml:space="preserve"> </w:t>
      </w:r>
      <w:r w:rsidR="00AF66CA" w:rsidRPr="00AF66CA">
        <w:t>5</w:t>
      </w:r>
      <w:r w:rsidRPr="00B44E57">
        <w:t>00</w:t>
      </w:r>
      <w:r w:rsidR="00703C91">
        <w:t xml:space="preserve"> were</w:t>
      </w:r>
      <w:r w:rsidRPr="00B44E57">
        <w:t xml:space="preserve"> students undertaking other VET</w:t>
      </w:r>
      <w:r w:rsidR="00AB6C77">
        <w:t>i</w:t>
      </w:r>
      <w:r w:rsidRPr="00B44E57">
        <w:t>S programs (9</w:t>
      </w:r>
      <w:r w:rsidR="00AF66CA">
        <w:t>2.1</w:t>
      </w:r>
      <w:r w:rsidR="00061C61" w:rsidRPr="00B44E57">
        <w:t>%).</w:t>
      </w:r>
      <w:r w:rsidRPr="00B44E57">
        <w:t xml:space="preserve"> Learning more about the outcomes of students undertaking VET</w:t>
      </w:r>
      <w:r w:rsidR="00A15AD0" w:rsidRPr="00B44E57">
        <w:t xml:space="preserve"> and how successful it is in finding paths to secure </w:t>
      </w:r>
      <w:r w:rsidR="009965C2" w:rsidRPr="00B44E57">
        <w:t>employment is</w:t>
      </w:r>
      <w:r w:rsidR="00A15AD0" w:rsidRPr="00B44E57">
        <w:t xml:space="preserve"> of vital importance. </w:t>
      </w:r>
    </w:p>
    <w:p w14:paraId="07344050" w14:textId="46AB797E" w:rsidR="000F329C" w:rsidRPr="00221ADC" w:rsidRDefault="00787B44" w:rsidP="00324917">
      <w:pPr>
        <w:pStyle w:val="Text"/>
      </w:pPr>
      <w:r w:rsidRPr="00B44E57">
        <w:t xml:space="preserve">In the first </w:t>
      </w:r>
      <w:r w:rsidR="00DA360F" w:rsidRPr="00B44E57">
        <w:t>chapter in this section</w:t>
      </w:r>
      <w:r w:rsidRPr="00B44E57">
        <w:t xml:space="preserve">, Curtis discusses </w:t>
      </w:r>
      <w:r w:rsidR="002816C1" w:rsidRPr="00B44E57">
        <w:t>i</w:t>
      </w:r>
      <w:r w:rsidR="00DA360F" w:rsidRPr="00B44E57">
        <w:t>nter-sect</w:t>
      </w:r>
      <w:r w:rsidR="00373587" w:rsidRPr="00B44E57">
        <w:t>or</w:t>
      </w:r>
      <w:r w:rsidR="00DA360F" w:rsidRPr="00B44E57">
        <w:t>al transfer rates</w:t>
      </w:r>
      <w:r w:rsidR="002816C1" w:rsidRPr="00B44E57">
        <w:t xml:space="preserve"> between VET and higher education</w:t>
      </w:r>
      <w:r w:rsidR="00DA360F" w:rsidRPr="00B44E57">
        <w:t xml:space="preserve"> </w:t>
      </w:r>
      <w:r w:rsidR="000F329C" w:rsidRPr="00B44E57">
        <w:t>and</w:t>
      </w:r>
      <w:r w:rsidR="00DA360F" w:rsidRPr="00B44E57">
        <w:t xml:space="preserve"> revisit</w:t>
      </w:r>
      <w:r w:rsidR="000F329C" w:rsidRPr="00B44E57">
        <w:t>s</w:t>
      </w:r>
      <w:r w:rsidR="00DA360F" w:rsidRPr="00B44E57">
        <w:t xml:space="preserve"> analyses first done a decade </w:t>
      </w:r>
      <w:r w:rsidR="00614560" w:rsidRPr="00B44E57">
        <w:t>earlier</w:t>
      </w:r>
      <w:r w:rsidR="00DA360F" w:rsidRPr="00B44E57">
        <w:t xml:space="preserve">. </w:t>
      </w:r>
      <w:r w:rsidR="000F329C" w:rsidRPr="00B44E57">
        <w:t>The results show</w:t>
      </w:r>
      <w:r w:rsidR="00DA360F" w:rsidRPr="00B44E57">
        <w:t xml:space="preserve"> that transfers from VET to higher education tend to</w:t>
      </w:r>
      <w:r w:rsidR="002816C1" w:rsidRPr="00B44E57">
        <w:t xml:space="preserve"> be students moving from certificate and diploma</w:t>
      </w:r>
      <w:r w:rsidR="00AF46D9" w:rsidRPr="00B44E57">
        <w:t>-</w:t>
      </w:r>
      <w:r w:rsidR="002816C1" w:rsidRPr="00B44E57">
        <w:t>level programs into degrees in the same field of study</w:t>
      </w:r>
      <w:r w:rsidR="000F329C" w:rsidRPr="00B44E57">
        <w:t xml:space="preserve"> and that we need to continue to advocate for easy pathways between the post-school sectors.</w:t>
      </w:r>
      <w:r w:rsidR="003D64B0" w:rsidRPr="00B44E57">
        <w:t xml:space="preserve"> </w:t>
      </w:r>
      <w:proofErr w:type="spellStart"/>
      <w:r w:rsidR="000F329C" w:rsidRPr="00B44E57">
        <w:t>Polidano</w:t>
      </w:r>
      <w:proofErr w:type="spellEnd"/>
      <w:r w:rsidR="000F329C" w:rsidRPr="00B44E57">
        <w:t xml:space="preserve"> and </w:t>
      </w:r>
      <w:proofErr w:type="spellStart"/>
      <w:r w:rsidR="000F329C" w:rsidRPr="00B44E57">
        <w:t>T</w:t>
      </w:r>
      <w:r w:rsidR="00DC613E" w:rsidRPr="00B44E57">
        <w:t>a</w:t>
      </w:r>
      <w:r w:rsidR="000F329C" w:rsidRPr="00B44E57">
        <w:t>basso</w:t>
      </w:r>
      <w:proofErr w:type="spellEnd"/>
      <w:r w:rsidR="000F329C" w:rsidRPr="00B44E57">
        <w:t xml:space="preserve"> look at a different area: comparing education and employment outcomes in the first year out of school between students who take part in VET in </w:t>
      </w:r>
      <w:r w:rsidR="00AF46D9" w:rsidRPr="00B44E57">
        <w:t>S</w:t>
      </w:r>
      <w:r w:rsidR="000F329C" w:rsidRPr="00B44E57">
        <w:t>chools and those who do not</w:t>
      </w:r>
      <w:r w:rsidR="001904C1" w:rsidRPr="00B44E57">
        <w:t xml:space="preserve">, with surprising findings regarding limitations as to when </w:t>
      </w:r>
      <w:r w:rsidR="00B15BF3" w:rsidRPr="00B44E57">
        <w:t>VET in Schools</w:t>
      </w:r>
      <w:r w:rsidR="001904C1" w:rsidRPr="00B44E57">
        <w:t xml:space="preserve"> is an advantage</w:t>
      </w:r>
      <w:r w:rsidR="001904C1" w:rsidRPr="00221ADC">
        <w:t xml:space="preserve">. </w:t>
      </w:r>
      <w:r w:rsidR="000F329C" w:rsidRPr="00221ADC">
        <w:t xml:space="preserve"> </w:t>
      </w:r>
    </w:p>
    <w:p w14:paraId="48A61619" w14:textId="77777777" w:rsidR="003D64B0" w:rsidRPr="000C7D27" w:rsidRDefault="00403EF7" w:rsidP="00740088">
      <w:pPr>
        <w:pStyle w:val="Heading2"/>
      </w:pPr>
      <w:bookmarkStart w:id="102" w:name="_Toc15048904"/>
      <w:bookmarkStart w:id="103" w:name="_Toc19803917"/>
      <w:r w:rsidRPr="000C7D27">
        <w:t>References</w:t>
      </w:r>
      <w:bookmarkEnd w:id="102"/>
      <w:bookmarkEnd w:id="103"/>
      <w:r w:rsidRPr="000C7D27">
        <w:br/>
      </w:r>
    </w:p>
    <w:p w14:paraId="4F64F5A1" w14:textId="1E86F85A" w:rsidR="003D64B0" w:rsidRPr="00FB751C" w:rsidRDefault="003D64B0" w:rsidP="00FB751C">
      <w:pPr>
        <w:pStyle w:val="References"/>
      </w:pPr>
      <w:r w:rsidRPr="00FB751C">
        <w:t>Fullarton</w:t>
      </w:r>
      <w:r w:rsidR="00EE299C">
        <w:t>,</w:t>
      </w:r>
      <w:r w:rsidRPr="00FB751C">
        <w:t xml:space="preserve"> S 2001, </w:t>
      </w:r>
      <w:r w:rsidRPr="00D06091">
        <w:rPr>
          <w:i/>
        </w:rPr>
        <w:t xml:space="preserve">VET in </w:t>
      </w:r>
      <w:r w:rsidR="00BF2E81" w:rsidRPr="00BF2E81">
        <w:rPr>
          <w:i/>
          <w:iCs/>
        </w:rPr>
        <w:t>S</w:t>
      </w:r>
      <w:r w:rsidRPr="00BF2E81">
        <w:rPr>
          <w:i/>
          <w:iCs/>
        </w:rPr>
        <w:t>chools:</w:t>
      </w:r>
      <w:r w:rsidRPr="00FB751C">
        <w:t xml:space="preserve"> </w:t>
      </w:r>
      <w:r w:rsidR="00BF2E81">
        <w:rPr>
          <w:i/>
          <w:iCs/>
        </w:rPr>
        <w:t>p</w:t>
      </w:r>
      <w:r w:rsidRPr="00BF2E81">
        <w:rPr>
          <w:i/>
          <w:iCs/>
        </w:rPr>
        <w:t>articipation</w:t>
      </w:r>
      <w:r w:rsidRPr="00D06091">
        <w:rPr>
          <w:i/>
        </w:rPr>
        <w:t xml:space="preserve"> and pathways</w:t>
      </w:r>
      <w:r w:rsidRPr="00FB751C">
        <w:t xml:space="preserve">, </w:t>
      </w:r>
      <w:r w:rsidR="00BF2E81">
        <w:t>LSAY</w:t>
      </w:r>
      <w:r w:rsidRPr="00FB751C">
        <w:t xml:space="preserve"> </w:t>
      </w:r>
      <w:r w:rsidR="00BF2E81" w:rsidRPr="00FB751C">
        <w:t>research report</w:t>
      </w:r>
      <w:r w:rsidR="00BF2E81">
        <w:t>, no.</w:t>
      </w:r>
      <w:r w:rsidRPr="00FB751C">
        <w:t>21</w:t>
      </w:r>
      <w:r w:rsidR="00BF2E81">
        <w:t>,</w:t>
      </w:r>
      <w:r w:rsidRPr="00FB751C">
        <w:t xml:space="preserve"> </w:t>
      </w:r>
      <w:r w:rsidR="00BF2E81" w:rsidRPr="00FB751C">
        <w:t>Australian Council for Educational Research</w:t>
      </w:r>
      <w:r w:rsidR="00BF2E81">
        <w:t>,</w:t>
      </w:r>
      <w:r w:rsidR="00BF2E81" w:rsidRPr="00FB751C">
        <w:t xml:space="preserve"> </w:t>
      </w:r>
      <w:r w:rsidRPr="00FB751C">
        <w:t>Camberwell</w:t>
      </w:r>
      <w:r w:rsidR="00BF2E81">
        <w:t>, Vic</w:t>
      </w:r>
      <w:r w:rsidRPr="00FB751C">
        <w:t>.</w:t>
      </w:r>
    </w:p>
    <w:p w14:paraId="3F6C7745" w14:textId="03D793C9" w:rsidR="003D64B0" w:rsidRPr="00FB751C" w:rsidRDefault="003D64B0" w:rsidP="00FB751C">
      <w:pPr>
        <w:pStyle w:val="References"/>
      </w:pPr>
      <w:r w:rsidRPr="00FB751C">
        <w:t>Gore</w:t>
      </w:r>
      <w:r w:rsidR="003A42E6">
        <w:t>,</w:t>
      </w:r>
      <w:r w:rsidRPr="00FB751C">
        <w:t xml:space="preserve"> J, Ellis</w:t>
      </w:r>
      <w:r w:rsidR="003A42E6">
        <w:t>,</w:t>
      </w:r>
      <w:r w:rsidRPr="00FB751C">
        <w:t xml:space="preserve"> H, Fray</w:t>
      </w:r>
      <w:r w:rsidR="003A42E6">
        <w:t>,</w:t>
      </w:r>
      <w:r w:rsidRPr="00FB751C">
        <w:t xml:space="preserve"> L, Smith</w:t>
      </w:r>
      <w:r w:rsidR="003A42E6">
        <w:t>,</w:t>
      </w:r>
      <w:r w:rsidRPr="00FB751C">
        <w:t xml:space="preserve"> M, Lloyd</w:t>
      </w:r>
      <w:r w:rsidR="003A42E6">
        <w:t>,</w:t>
      </w:r>
      <w:r w:rsidRPr="00FB751C">
        <w:t xml:space="preserve"> A, Berrigan</w:t>
      </w:r>
      <w:r w:rsidR="003A42E6">
        <w:t>,</w:t>
      </w:r>
      <w:r w:rsidRPr="00FB751C">
        <w:t xml:space="preserve"> C, Lyell</w:t>
      </w:r>
      <w:r w:rsidR="003A42E6">
        <w:t>,</w:t>
      </w:r>
      <w:r w:rsidRPr="00FB751C">
        <w:t xml:space="preserve"> A, Weaver</w:t>
      </w:r>
      <w:r w:rsidR="003A42E6">
        <w:t>,</w:t>
      </w:r>
      <w:r w:rsidRPr="00FB751C">
        <w:t xml:space="preserve"> N &amp; Holmes</w:t>
      </w:r>
      <w:r w:rsidR="003A42E6">
        <w:t>,</w:t>
      </w:r>
      <w:r w:rsidRPr="00FB751C">
        <w:t xml:space="preserve"> K 2017, </w:t>
      </w:r>
      <w:r w:rsidRPr="00D06091">
        <w:rPr>
          <w:i/>
        </w:rPr>
        <w:t>Choosing VET: investigating the VET aspirations of school students</w:t>
      </w:r>
      <w:r w:rsidRPr="00FB751C">
        <w:t>, NCVER, Adelaide.</w:t>
      </w:r>
    </w:p>
    <w:p w14:paraId="7C3C5121" w14:textId="14020225" w:rsidR="003D64B0" w:rsidRPr="00FB751C" w:rsidRDefault="003D64B0" w:rsidP="00FB751C">
      <w:pPr>
        <w:pStyle w:val="References"/>
      </w:pPr>
      <w:r w:rsidRPr="00FB751C">
        <w:t xml:space="preserve">Hargreaves J &amp; Osborne K 2017, </w:t>
      </w:r>
      <w:r w:rsidRPr="00D06091">
        <w:rPr>
          <w:i/>
        </w:rPr>
        <w:t>Choosing VET: aspirations, intention and choice,</w:t>
      </w:r>
      <w:r w:rsidRPr="00FB751C">
        <w:t xml:space="preserve"> NCVER, Adelaide.</w:t>
      </w:r>
    </w:p>
    <w:p w14:paraId="2C18EF07" w14:textId="4309FA2A" w:rsidR="000C7D27" w:rsidRDefault="000C7D27" w:rsidP="00FB751C">
      <w:pPr>
        <w:pStyle w:val="References"/>
      </w:pPr>
      <w:r w:rsidRPr="00FB751C">
        <w:t xml:space="preserve">Hedges S &amp; </w:t>
      </w:r>
      <w:proofErr w:type="spellStart"/>
      <w:r w:rsidRPr="00FB751C">
        <w:t>Speckesser</w:t>
      </w:r>
      <w:proofErr w:type="spellEnd"/>
      <w:r w:rsidRPr="00FB751C">
        <w:t xml:space="preserve"> S 2017, </w:t>
      </w:r>
      <w:r w:rsidRPr="00D06091">
        <w:rPr>
          <w:i/>
        </w:rPr>
        <w:t>Peer effects and social influence in post-16 educational choice</w:t>
      </w:r>
      <w:r w:rsidRPr="00FB751C">
        <w:t>, CVER discussion paper series no. 008, Centre for Vocational Education Research, London School of Economics and Political Science, London.</w:t>
      </w:r>
    </w:p>
    <w:p w14:paraId="70CF0495" w14:textId="1B0925DE" w:rsidR="00AF66CA" w:rsidRDefault="001575FC" w:rsidP="00FB751C">
      <w:pPr>
        <w:pStyle w:val="References"/>
      </w:pPr>
      <w:r w:rsidRPr="00685BEE">
        <w:t xml:space="preserve">NCVER </w:t>
      </w:r>
      <w:r>
        <w:rPr>
          <w:iCs/>
        </w:rPr>
        <w:t xml:space="preserve">(National Centre for Vocational Education Research) </w:t>
      </w:r>
      <w:r w:rsidR="00AF66CA" w:rsidRPr="00AF66CA">
        <w:t xml:space="preserve">2019, </w:t>
      </w:r>
      <w:r w:rsidR="00AF66CA" w:rsidRPr="00FD4F44">
        <w:rPr>
          <w:i/>
        </w:rPr>
        <w:t>Australian vocational education and training statistics: VET in Schools 2018</w:t>
      </w:r>
      <w:r w:rsidR="00AF66CA" w:rsidRPr="00AF66CA">
        <w:t>, NCVER, Adelaide.</w:t>
      </w:r>
    </w:p>
    <w:p w14:paraId="0DE670F9" w14:textId="126907B5" w:rsidR="00583F5F" w:rsidRPr="00583F5F" w:rsidRDefault="00583F5F" w:rsidP="00FB751C">
      <w:pPr>
        <w:pStyle w:val="References"/>
      </w:pPr>
      <w:r>
        <w:t xml:space="preserve">Nguyen, N 2010, </w:t>
      </w:r>
      <w:r>
        <w:rPr>
          <w:i/>
        </w:rPr>
        <w:t>The impact of VET in Schools on the intentions and achievements of young people</w:t>
      </w:r>
      <w:r>
        <w:t xml:space="preserve">, LSAY briefing paper 21, NCVER, </w:t>
      </w:r>
      <w:r w:rsidR="00BD4804">
        <w:t>Adelaide.</w:t>
      </w:r>
    </w:p>
    <w:p w14:paraId="3373404B" w14:textId="6F300238" w:rsidR="00AA2692" w:rsidRPr="003D64B0" w:rsidRDefault="003D64B0" w:rsidP="003D64B0">
      <w:pPr>
        <w:pStyle w:val="Text"/>
      </w:pPr>
      <w:r w:rsidRPr="003D64B0">
        <w:t xml:space="preserve"> </w:t>
      </w:r>
      <w:r w:rsidR="00AA2692" w:rsidRPr="003D64B0">
        <w:br w:type="page"/>
      </w:r>
    </w:p>
    <w:p w14:paraId="46BF5906" w14:textId="06CEC710" w:rsidR="000C7D27" w:rsidRDefault="000C7D27" w:rsidP="00E612BF">
      <w:pPr>
        <w:pStyle w:val="Heading1"/>
      </w:pPr>
      <w:bookmarkStart w:id="104" w:name="_Toc19803918"/>
      <w:r>
        <w:lastRenderedPageBreak/>
        <w:t>Student transfer between VET and higher education</w:t>
      </w:r>
      <w:bookmarkEnd w:id="104"/>
    </w:p>
    <w:p w14:paraId="35C70B94" w14:textId="1943DCAE" w:rsidR="000C7D27" w:rsidRPr="00D06091" w:rsidRDefault="000C7D27" w:rsidP="00133723">
      <w:pPr>
        <w:pStyle w:val="Text"/>
        <w:spacing w:line="240" w:lineRule="auto"/>
        <w:rPr>
          <w:i/>
          <w:sz w:val="22"/>
          <w:szCs w:val="22"/>
        </w:rPr>
      </w:pPr>
      <w:r w:rsidRPr="00D06091">
        <w:rPr>
          <w:i/>
          <w:sz w:val="22"/>
          <w:szCs w:val="22"/>
        </w:rPr>
        <w:t>David D Curtis</w:t>
      </w:r>
      <w:r w:rsidR="009519AD" w:rsidRPr="009519AD">
        <w:rPr>
          <w:i/>
          <w:sz w:val="22"/>
          <w:szCs w:val="22"/>
        </w:rPr>
        <w:t>,</w:t>
      </w:r>
      <w:r w:rsidR="00BE799B">
        <w:rPr>
          <w:i/>
          <w:sz w:val="22"/>
          <w:szCs w:val="22"/>
        </w:rPr>
        <w:t xml:space="preserve"> </w:t>
      </w:r>
      <w:r w:rsidR="002520D7">
        <w:rPr>
          <w:i/>
          <w:sz w:val="22"/>
          <w:szCs w:val="22"/>
        </w:rPr>
        <w:t>Flinders University</w:t>
      </w:r>
    </w:p>
    <w:p w14:paraId="7D836D4E" w14:textId="2D6FC50B" w:rsidR="00AD5FF8" w:rsidRDefault="002F03DB" w:rsidP="0013482D">
      <w:pPr>
        <w:pStyle w:val="Heading2"/>
      </w:pPr>
      <w:bookmarkStart w:id="105" w:name="_Toc15048906"/>
      <w:bookmarkStart w:id="106" w:name="_Toc19803919"/>
      <w:r>
        <w:t>Introduction</w:t>
      </w:r>
      <w:bookmarkEnd w:id="105"/>
      <w:bookmarkEnd w:id="106"/>
    </w:p>
    <w:p w14:paraId="0ABBA094" w14:textId="2CFC29FF" w:rsidR="000C7D27" w:rsidRDefault="000C7D27" w:rsidP="00133723">
      <w:pPr>
        <w:pStyle w:val="Text"/>
      </w:pPr>
      <w:r>
        <w:t xml:space="preserve">Following some dispute about the levels of transfer of students between the </w:t>
      </w:r>
      <w:r w:rsidR="0050567E">
        <w:t>vocational education and training (</w:t>
      </w:r>
      <w:r>
        <w:t>VET</w:t>
      </w:r>
      <w:r w:rsidR="0050567E">
        <w:t>)</w:t>
      </w:r>
      <w:r>
        <w:t xml:space="preserve"> and higher education sectors, Curtis (2006) </w:t>
      </w:r>
      <w:proofErr w:type="gramStart"/>
      <w:r>
        <w:t>undertook a study of</w:t>
      </w:r>
      <w:proofErr w:type="gramEnd"/>
      <w:r>
        <w:t xml:space="preserve"> inter-sectoral transfer using the Y95</w:t>
      </w:r>
      <w:r w:rsidR="00902D78">
        <w:t xml:space="preserve"> Longitudinal Surveys of Australian Youth (</w:t>
      </w:r>
      <w:r>
        <w:t>LSAY</w:t>
      </w:r>
      <w:r w:rsidR="00902D78">
        <w:t>)</w:t>
      </w:r>
      <w:r>
        <w:t xml:space="preserve"> cohort (to 2004). The analyses presented then are revisited in this contribution, </w:t>
      </w:r>
      <w:proofErr w:type="gramStart"/>
      <w:r>
        <w:t>taking into account</w:t>
      </w:r>
      <w:proofErr w:type="gramEnd"/>
      <w:r>
        <w:t xml:space="preserve"> changes in labour market conditions and policy settings in the intervening decade. In this paper, data from the LSAY Y06 cohort (to 2016) are used to estimate inter-sectoral transfer. While participation in both sectors, and especially higher education, has increased, the rates of transfer between the sectors </w:t>
      </w:r>
      <w:r w:rsidR="00133723">
        <w:t xml:space="preserve">are </w:t>
      </w:r>
      <w:r>
        <w:t>similar in 2016 to the figures reported in 2006.</w:t>
      </w:r>
    </w:p>
    <w:p w14:paraId="5B0C1326" w14:textId="77777777" w:rsidR="000C7D27" w:rsidRDefault="000C7D27" w:rsidP="000C7D27">
      <w:pPr>
        <w:pStyle w:val="Heading2"/>
      </w:pPr>
      <w:bookmarkStart w:id="107" w:name="_Toc15048907"/>
      <w:bookmarkStart w:id="108" w:name="_Toc19803920"/>
      <w:r>
        <w:t>Why the interest in this topic?</w:t>
      </w:r>
      <w:bookmarkEnd w:id="107"/>
      <w:bookmarkEnd w:id="108"/>
    </w:p>
    <w:p w14:paraId="79477A49" w14:textId="1C903284" w:rsidR="000C7D27" w:rsidRDefault="000C7D27" w:rsidP="00133723">
      <w:pPr>
        <w:pStyle w:val="Text"/>
      </w:pPr>
      <w:r>
        <w:t xml:space="preserve">An implicit assumption about transitions from compulsory education to the labour market was that they followed simple linear paths: students would have completed as much school education as they required or desired </w:t>
      </w:r>
      <w:bookmarkStart w:id="109" w:name="_Hlk15549588"/>
      <w:r>
        <w:t xml:space="preserve">and would have </w:t>
      </w:r>
      <w:r w:rsidR="00AC4F22">
        <w:t>undertaken one of the following options:</w:t>
      </w:r>
      <w:bookmarkEnd w:id="109"/>
    </w:p>
    <w:p w14:paraId="462B286C" w14:textId="443F0558" w:rsidR="000C7D27" w:rsidRDefault="000C7D27" w:rsidP="00133723">
      <w:pPr>
        <w:pStyle w:val="Text"/>
        <w:numPr>
          <w:ilvl w:val="0"/>
          <w:numId w:val="26"/>
        </w:numPr>
      </w:pPr>
      <w:r>
        <w:t>moved directly into the labour market</w:t>
      </w:r>
    </w:p>
    <w:p w14:paraId="00BA9247" w14:textId="330AFFDF" w:rsidR="000C7D27" w:rsidRDefault="000C7D27" w:rsidP="00133723">
      <w:pPr>
        <w:pStyle w:val="Text"/>
        <w:numPr>
          <w:ilvl w:val="0"/>
          <w:numId w:val="26"/>
        </w:numPr>
      </w:pPr>
      <w:r>
        <w:t>pursued a VET pathway that may have been an apprenticeship or traineeship, or a course offered by a VET provider leading to a qualification, and then entered the labour market</w:t>
      </w:r>
    </w:p>
    <w:p w14:paraId="108A5582" w14:textId="77777777" w:rsidR="000C7D27" w:rsidRDefault="000C7D27" w:rsidP="00133723">
      <w:pPr>
        <w:pStyle w:val="Text"/>
        <w:numPr>
          <w:ilvl w:val="0"/>
          <w:numId w:val="26"/>
        </w:numPr>
      </w:pPr>
      <w:r>
        <w:t>enrolled in a course offered by a university (or other higher education provider) and then entered the labour market.</w:t>
      </w:r>
    </w:p>
    <w:p w14:paraId="25FF1A0C" w14:textId="767702FD" w:rsidR="000C7D27" w:rsidRDefault="000C7D27" w:rsidP="00133723">
      <w:pPr>
        <w:pStyle w:val="Text"/>
      </w:pPr>
      <w:proofErr w:type="gramStart"/>
      <w:r>
        <w:t>In reality, transitions</w:t>
      </w:r>
      <w:proofErr w:type="gramEnd"/>
      <w:r>
        <w:t xml:space="preserve"> were never as simple as these paths suggest (Harris, Rainey &amp; Sumner 2006). A persistent problem for both VET and higher education has been non-completion. In the absence of a universal student identifier, tracking student progress was difficult, even within a sector. If a student left a course, it was assumed they had ‘dropped out’. More detailed analyses of students’ pathways tracked through LSAY surveys revealed that</w:t>
      </w:r>
      <w:r w:rsidR="001B2E27">
        <w:t>,</w:t>
      </w:r>
      <w:r>
        <w:t xml:space="preserve"> if students left a course, they were more likely than not to enrol in another course, either at the same institution or in another institution in the same sector, but they may have moved to the other post</w:t>
      </w:r>
      <w:r w:rsidR="001B2E27">
        <w:t>-</w:t>
      </w:r>
      <w:r>
        <w:t>secondary sector (Curtis 2013; Curtis &amp; McMillan 2008; McMillan 2005; McMillan &amp; Curtis 2008).</w:t>
      </w:r>
    </w:p>
    <w:p w14:paraId="4696F7B8" w14:textId="4608C584" w:rsidR="000C7D27" w:rsidRDefault="000C7D27" w:rsidP="003E491E">
      <w:pPr>
        <w:pStyle w:val="Text"/>
      </w:pPr>
      <w:r>
        <w:t>The issue of drop</w:t>
      </w:r>
      <w:r w:rsidR="00475874">
        <w:t>-</w:t>
      </w:r>
      <w:r>
        <w:t>outs was and remains a matter of policy interest. If students do drop out, their departure represents a direct cost to the individual in fees incurred and an opportunity cost</w:t>
      </w:r>
      <w:r w:rsidR="00475874">
        <w:t>,</w:t>
      </w:r>
      <w:r>
        <w:t xml:space="preserve"> as the time they did spend in a course could have been invested more productively. That departure also represents a cost to the agency funding their enrolment (in most cases, governments). Further, while the student may have gained some useful skills from their participation, the lack of any certification makes it unlikely that their skills would be recognised.</w:t>
      </w:r>
    </w:p>
    <w:p w14:paraId="28AA1644" w14:textId="598E3C88" w:rsidR="000C7D27" w:rsidRDefault="000C7D27" w:rsidP="003E491E">
      <w:pPr>
        <w:pStyle w:val="Text"/>
      </w:pPr>
      <w:r>
        <w:lastRenderedPageBreak/>
        <w:t>Funding agencies (again, mostly governments) have an interest in drop-outs</w:t>
      </w:r>
      <w:r w:rsidR="00475874">
        <w:t>,</w:t>
      </w:r>
      <w:r>
        <w:t xml:space="preserve"> as they may indicate a perception of poor course quality (Curtis 2011), although many other factors contribute to course quality and many factors beyond the control of providers influence students’ decisions to leave courses.</w:t>
      </w:r>
    </w:p>
    <w:p w14:paraId="2024E45B" w14:textId="32CC95BC" w:rsidR="000C7D27" w:rsidRDefault="000C7D27" w:rsidP="003E491E">
      <w:pPr>
        <w:pStyle w:val="Text"/>
      </w:pPr>
      <w:r>
        <w:t xml:space="preserve">Interest in </w:t>
      </w:r>
      <w:r w:rsidR="00AA1967">
        <w:t xml:space="preserve">the </w:t>
      </w:r>
      <w:r>
        <w:t>inter-sectoral movements of students also arises for other reasons. Students who undertake a VET qualification may find that their career opportunities are enhanced by pursuing a related higher education qualification. This is most apparent in areas such as nursing</w:t>
      </w:r>
      <w:r w:rsidR="00AA1967">
        <w:t>,</w:t>
      </w:r>
      <w:r>
        <w:t xml:space="preserve"> where graduates of a Diploma of Nursing (enrolled nurses) receive course credit in Bachelor of Nursing degree courses (leading to registration as a nurse). This movement between the sectors, which is not restricted to nursing qualifications, has advantages for students. Having completed a VET qualification, VET graduates can work in their chosen field, gain experience and earn an income, and they may do this on a part-time basis while completing their university degree. Entry into high</w:t>
      </w:r>
      <w:r w:rsidR="00D71CBD">
        <w:t>er</w:t>
      </w:r>
      <w:r>
        <w:t xml:space="preserve"> education favours students from high</w:t>
      </w:r>
      <w:r w:rsidR="00492C07">
        <w:t xml:space="preserve"> socioeconomic status (</w:t>
      </w:r>
      <w:r>
        <w:t>SES</w:t>
      </w:r>
      <w:r w:rsidR="00492C07">
        <w:t>)</w:t>
      </w:r>
      <w:r>
        <w:t xml:space="preserve"> backgrounds, so a VET qualification may provide a pathway into higher education for low-SES students, although </w:t>
      </w:r>
      <w:proofErr w:type="spellStart"/>
      <w:r>
        <w:t>Wheelahan</w:t>
      </w:r>
      <w:proofErr w:type="spellEnd"/>
      <w:r>
        <w:t xml:space="preserve"> (2009) sounded a cautionary note about this possibility. The movement from university to VET is more problematic. Moodie (2005) refers to university to VET transfer when the university course was not completed as ‘dropping down’ rather than dropping out. However, university graduates may undertake additional qualifications in the VET sector in order to gain skills </w:t>
      </w:r>
      <w:r w:rsidR="00533F78">
        <w:t>that complement</w:t>
      </w:r>
      <w:r>
        <w:t xml:space="preserve"> those gained in their degree courses.</w:t>
      </w:r>
    </w:p>
    <w:p w14:paraId="42592CA2" w14:textId="77777777" w:rsidR="000C7D27" w:rsidRDefault="000C7D27" w:rsidP="000C7D27">
      <w:pPr>
        <w:pStyle w:val="Heading2"/>
      </w:pPr>
      <w:bookmarkStart w:id="110" w:name="_Toc15048908"/>
      <w:bookmarkStart w:id="111" w:name="_Toc19803921"/>
      <w:r>
        <w:t>The need for quality data</w:t>
      </w:r>
      <w:bookmarkEnd w:id="110"/>
      <w:bookmarkEnd w:id="111"/>
    </w:p>
    <w:p w14:paraId="721217D1" w14:textId="0E5E309D" w:rsidR="000C7D27" w:rsidRPr="009B2860" w:rsidRDefault="000B18D7" w:rsidP="007E5BED">
      <w:pPr>
        <w:pStyle w:val="Text"/>
      </w:pPr>
      <w:r>
        <w:t>My</w:t>
      </w:r>
      <w:r w:rsidR="000C7D27" w:rsidRPr="009B2860">
        <w:t xml:space="preserve"> 2006 study was motivated by a desire to resolve conflicting accounts of the relative magnitudes of transfer between VET and higher education. Harris, Sumner and Rainey (2005) had analysed both VET and higher education statistics to </w:t>
      </w:r>
      <w:r w:rsidR="00AB7B7A">
        <w:t>determine</w:t>
      </w:r>
      <w:r w:rsidR="000C7D27" w:rsidRPr="009B2860">
        <w:t xml:space="preserve"> what proportions of students in each sector had previous experience of the other postsecondary sector. In addition, they had undertaken a survey of VET and higher education students who commenced their studies in 2003 in South Australia to find out whether those students had previously been enrolled in a course in the other sector. Their report was based largely on the results of their survey. However, the response rates to the VET and higher education surveys were 15% and 7% respectively. </w:t>
      </w:r>
      <w:proofErr w:type="gramStart"/>
      <w:r w:rsidR="000C7D27" w:rsidRPr="009B2860">
        <w:t>On the basis of</w:t>
      </w:r>
      <w:proofErr w:type="gramEnd"/>
      <w:r w:rsidR="000C7D27" w:rsidRPr="009B2860">
        <w:t xml:space="preserve"> their analyses, </w:t>
      </w:r>
      <w:r w:rsidR="00526C14" w:rsidRPr="009B2860">
        <w:t>Harris</w:t>
      </w:r>
      <w:r w:rsidR="00B01223">
        <w:t xml:space="preserve"> et al.</w:t>
      </w:r>
      <w:r w:rsidR="00526C14" w:rsidRPr="009B2860">
        <w:t xml:space="preserve"> (2005) </w:t>
      </w:r>
      <w:r w:rsidR="000C7D27" w:rsidRPr="009B2860">
        <w:t xml:space="preserve">concluded that the </w:t>
      </w:r>
      <w:r w:rsidR="00D739A3" w:rsidRPr="009B2860">
        <w:t xml:space="preserve">flow </w:t>
      </w:r>
      <w:r w:rsidR="000C7D27" w:rsidRPr="009B2860">
        <w:t>of students from higher education to VET was three times greater than the movement from VET to higher education.</w:t>
      </w:r>
    </w:p>
    <w:p w14:paraId="3B28AC61" w14:textId="6AACB907" w:rsidR="000C7D27" w:rsidRDefault="000C7D27" w:rsidP="007E5BED">
      <w:pPr>
        <w:pStyle w:val="Text"/>
      </w:pPr>
      <w:r>
        <w:t xml:space="preserve">Moodie (2005) was critical of the analyses of higher education statistics conducted by Harris et al. (2005) and especially critical of their survey. In addition to revealing discrepancies in reported enrolments between </w:t>
      </w:r>
      <w:r w:rsidR="00E92B99">
        <w:t xml:space="preserve">the </w:t>
      </w:r>
      <w:r>
        <w:t>higher education statistics</w:t>
      </w:r>
      <w:r w:rsidR="00526C14">
        <w:t xml:space="preserve"> from the Department </w:t>
      </w:r>
      <w:r w:rsidR="00316095">
        <w:t>of Education, Science and Training</w:t>
      </w:r>
      <w:r>
        <w:t>, NCVER collections and ABS data, Moodie drew attention to the unreliability of self-report data on students’ prior enrolments, with many students, especially those in dual-sector institutions, inaccurately reporting the sector in which they were enrolled.</w:t>
      </w:r>
    </w:p>
    <w:p w14:paraId="2269DE08" w14:textId="7AE4C42F" w:rsidR="000C7D27" w:rsidRDefault="000C7D27" w:rsidP="007E5BED">
      <w:pPr>
        <w:pStyle w:val="Text"/>
      </w:pPr>
      <w:r>
        <w:t>A common feature of the enrolment data used in previous studies, including those by Harris et al. (2005) and Moodie (2005), is that they are cross-sectional. Here, LSAY data are particularly valuable as they track individuals over time and reveal the enrolment trajectories</w:t>
      </w:r>
      <w:r w:rsidR="00BC3666">
        <w:t>,</w:t>
      </w:r>
      <w:r>
        <w:t xml:space="preserve"> including </w:t>
      </w:r>
      <w:r w:rsidR="00BC3666">
        <w:t xml:space="preserve">the </w:t>
      </w:r>
      <w:r>
        <w:t xml:space="preserve">completion status of individuals in courses. While the data are self-reports, there is an internal check on the consistency of responses as participants are prompted with scripts such as </w:t>
      </w:r>
      <w:r w:rsidR="00BC3666">
        <w:t>‘</w:t>
      </w:r>
      <w:r>
        <w:t>Last year you indicated that you were enrolled in …</w:t>
      </w:r>
      <w:r w:rsidR="00BC3666">
        <w:t>’</w:t>
      </w:r>
      <w:r>
        <w:t xml:space="preserve">. This prompt tests the accuracy of the previously reported enrolment and subsequent questions </w:t>
      </w:r>
      <w:r>
        <w:lastRenderedPageBreak/>
        <w:t>that build on it. For example, participants are asked if they are still enrolled in that program. The study reported by Curtis (2006) used the LSAY Y95 cohort data up to and including Wave 10 (2004). The Y95 cohort had been recruited when they were in Year 9 at school. The modal age of the cohort when recruited was 14 years, and respondents were 23 years</w:t>
      </w:r>
      <w:r w:rsidR="003526B0">
        <w:t xml:space="preserve"> </w:t>
      </w:r>
      <w:r>
        <w:t>old in 2004. This reveals a disadvantage of the data. Moodie (2005) had shown that many of the reverse transfers occur after students had completed their higher education qualification</w:t>
      </w:r>
      <w:r w:rsidR="007E5BED">
        <w:t>,</w:t>
      </w:r>
      <w:r>
        <w:t xml:space="preserve"> and in some cases, some years after completing it. Thus, relatively few of the higher education graduates who might eventually undertake a VET qualification would have commenced it by age 24 years. Thus</w:t>
      </w:r>
      <w:r w:rsidR="007E5BED">
        <w:t>,</w:t>
      </w:r>
      <w:r>
        <w:t xml:space="preserve"> the LSAY data are likely to underestimate the higher education to VET transfer.</w:t>
      </w:r>
    </w:p>
    <w:p w14:paraId="527795BF" w14:textId="77777777" w:rsidR="000C7D27" w:rsidRDefault="000C7D27" w:rsidP="000C7D27">
      <w:pPr>
        <w:pStyle w:val="Heading2"/>
      </w:pPr>
      <w:bookmarkStart w:id="112" w:name="_Toc15048909"/>
      <w:bookmarkStart w:id="113" w:name="_Toc19803922"/>
      <w:r>
        <w:t>What was the incidence of inter-sectoral transfer?</w:t>
      </w:r>
      <w:bookmarkEnd w:id="112"/>
      <w:bookmarkEnd w:id="113"/>
    </w:p>
    <w:p w14:paraId="2A70FEBA" w14:textId="5F17D4C3" w:rsidR="004A4218" w:rsidRDefault="000C7D27" w:rsidP="00740088">
      <w:pPr>
        <w:pStyle w:val="Text"/>
      </w:pPr>
      <w:r>
        <w:t xml:space="preserve">Curtis (2006) found that the majority of students undertake a post-school program, which may be an apprenticeship (or traineeship, noting that these programs were differentiated at the time the programs were undertaken), a non-apprenticeship VET course usually undertaken through a </w:t>
      </w:r>
      <w:r w:rsidR="004B7F6A">
        <w:t>technical and further education (</w:t>
      </w:r>
      <w:r>
        <w:t>TAFE</w:t>
      </w:r>
      <w:r w:rsidR="004B7F6A">
        <w:t xml:space="preserve">) </w:t>
      </w:r>
      <w:r>
        <w:t xml:space="preserve">institute, or a university course. A very small number of students reported doing a non-formal qualification. The percentages of students undertaking </w:t>
      </w:r>
      <w:proofErr w:type="gramStart"/>
      <w:r>
        <w:t>first</w:t>
      </w:r>
      <w:proofErr w:type="gramEnd"/>
      <w:r>
        <w:t xml:space="preserve"> and second programs of study are shown in </w:t>
      </w:r>
      <w:r w:rsidR="00555FED">
        <w:t>t</w:t>
      </w:r>
      <w:r>
        <w:t xml:space="preserve">able </w:t>
      </w:r>
      <w:r w:rsidR="00061C61">
        <w:t>9</w:t>
      </w:r>
      <w:r>
        <w:t xml:space="preserve">, which is based on </w:t>
      </w:r>
      <w:r w:rsidR="00555FED">
        <w:t>f</w:t>
      </w:r>
      <w:r>
        <w:t>igure 1 in Curtis (2006). The figures shown in the first column of the table are the proportions of the cohort who undertook the various types of programs available to them as a first post-school program. The first row of the table shows the proportions of LSAY participants who, having undertaken a first program, went on to a second one. Other rows in the table show the proportions of students who, in a given first post-school program, undertook various second programs (including none). For example, 25% of the cohort undertook a non-apprenticeship VET (TAFE) course as their first post-school program. Of that group, 45% did no further study, but 9% moved to an apprenticeship, 26% went on to do another TAFE course, and 14% enrolled in a university course. Overall, most students undertake only one post-school program. However, if they do undertake a second program, it is most likely to be in the same sector as the first.</w:t>
      </w:r>
    </w:p>
    <w:p w14:paraId="57D5D427" w14:textId="3FC3DE5C" w:rsidR="000C7D27" w:rsidRPr="008C22FB" w:rsidRDefault="000C7D27" w:rsidP="00740088">
      <w:pPr>
        <w:pStyle w:val="tabletitle0"/>
      </w:pPr>
      <w:bookmarkStart w:id="114" w:name="_Ref529559942"/>
      <w:bookmarkStart w:id="115" w:name="_Toc19001666"/>
      <w:r w:rsidRPr="008C22FB">
        <w:t xml:space="preserve">Table </w:t>
      </w:r>
      <w:bookmarkEnd w:id="114"/>
      <w:r w:rsidR="00061C61">
        <w:rPr>
          <w:noProof/>
        </w:rPr>
        <w:t>9</w:t>
      </w:r>
      <w:r w:rsidRPr="008C22FB">
        <w:tab/>
        <w:t>Percentages of the Y95 cohort undertaking post-school programs, both first and subsequent</w:t>
      </w:r>
      <w:bookmarkEnd w:id="115"/>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560"/>
        <w:gridCol w:w="1417"/>
        <w:gridCol w:w="1276"/>
        <w:gridCol w:w="1276"/>
        <w:gridCol w:w="1417"/>
        <w:gridCol w:w="1418"/>
      </w:tblGrid>
      <w:tr w:rsidR="000C7D27" w:rsidRPr="008C22FB" w14:paraId="27AB8F0A" w14:textId="77777777" w:rsidTr="00955353">
        <w:tc>
          <w:tcPr>
            <w:tcW w:w="1560" w:type="dxa"/>
            <w:tcBorders>
              <w:top w:val="single" w:sz="4" w:space="0" w:color="auto"/>
            </w:tcBorders>
          </w:tcPr>
          <w:p w14:paraId="4138B2DC" w14:textId="77777777" w:rsidR="000C7D27" w:rsidRPr="00955353" w:rsidRDefault="000C7D27" w:rsidP="007E5BED">
            <w:pPr>
              <w:pStyle w:val="Tabletext"/>
            </w:pPr>
            <w:bookmarkStart w:id="116" w:name="OLE_LINK1"/>
            <w:bookmarkStart w:id="117" w:name="OLE_LINK2"/>
          </w:p>
        </w:tc>
        <w:tc>
          <w:tcPr>
            <w:tcW w:w="6804" w:type="dxa"/>
            <w:gridSpan w:val="5"/>
            <w:tcBorders>
              <w:top w:val="single" w:sz="4" w:space="0" w:color="auto"/>
            </w:tcBorders>
          </w:tcPr>
          <w:p w14:paraId="373281D5" w14:textId="77777777" w:rsidR="000C7D27" w:rsidRPr="008C22FB" w:rsidRDefault="000C7D27" w:rsidP="007E5BED">
            <w:pPr>
              <w:pStyle w:val="Tabletext"/>
              <w:rPr>
                <w:b/>
              </w:rPr>
            </w:pPr>
            <w:r w:rsidRPr="008C22FB">
              <w:rPr>
                <w:b/>
              </w:rPr>
              <w:t>Second post-school program</w:t>
            </w:r>
          </w:p>
        </w:tc>
      </w:tr>
      <w:tr w:rsidR="000C7D27" w:rsidRPr="008C22FB" w14:paraId="1D07AF0E" w14:textId="77777777" w:rsidTr="00955353">
        <w:tc>
          <w:tcPr>
            <w:tcW w:w="1560" w:type="dxa"/>
            <w:tcBorders>
              <w:bottom w:val="single" w:sz="4" w:space="0" w:color="auto"/>
            </w:tcBorders>
          </w:tcPr>
          <w:p w14:paraId="7B9B311F" w14:textId="77777777" w:rsidR="000C7D27" w:rsidRPr="00955353" w:rsidRDefault="000C7D27" w:rsidP="007E5BED">
            <w:pPr>
              <w:pStyle w:val="Tabletext"/>
            </w:pPr>
            <w:r w:rsidRPr="00955353">
              <w:t>First post-school program</w:t>
            </w:r>
          </w:p>
        </w:tc>
        <w:tc>
          <w:tcPr>
            <w:tcW w:w="1417" w:type="dxa"/>
            <w:tcBorders>
              <w:bottom w:val="single" w:sz="4" w:space="0" w:color="auto"/>
            </w:tcBorders>
          </w:tcPr>
          <w:p w14:paraId="0BB85ED6" w14:textId="77777777" w:rsidR="000C7D27" w:rsidRPr="008C22FB" w:rsidRDefault="000C7D27" w:rsidP="007E5BED">
            <w:pPr>
              <w:pStyle w:val="Tabletext"/>
            </w:pPr>
            <w:r w:rsidRPr="008C22FB">
              <w:t>No further study (64%)</w:t>
            </w:r>
          </w:p>
        </w:tc>
        <w:tc>
          <w:tcPr>
            <w:tcW w:w="1276" w:type="dxa"/>
            <w:tcBorders>
              <w:bottom w:val="single" w:sz="4" w:space="0" w:color="auto"/>
            </w:tcBorders>
          </w:tcPr>
          <w:p w14:paraId="3B1AF2DC" w14:textId="4CC37877" w:rsidR="000C7D27" w:rsidRPr="008C22FB" w:rsidRDefault="000C7D27" w:rsidP="007E5BED">
            <w:pPr>
              <w:pStyle w:val="Tabletext"/>
            </w:pPr>
            <w:r w:rsidRPr="008C22FB">
              <w:t>Apprenticeship (7%)</w:t>
            </w:r>
          </w:p>
        </w:tc>
        <w:tc>
          <w:tcPr>
            <w:tcW w:w="1276" w:type="dxa"/>
            <w:tcBorders>
              <w:bottom w:val="single" w:sz="4" w:space="0" w:color="auto"/>
            </w:tcBorders>
          </w:tcPr>
          <w:p w14:paraId="13E3C7D4" w14:textId="77777777" w:rsidR="000C7D27" w:rsidRPr="008C22FB" w:rsidRDefault="000C7D27" w:rsidP="007E5BED">
            <w:pPr>
              <w:pStyle w:val="Tabletext"/>
            </w:pPr>
            <w:r w:rsidRPr="008C22FB">
              <w:t>TAFE course (12%)</w:t>
            </w:r>
          </w:p>
        </w:tc>
        <w:tc>
          <w:tcPr>
            <w:tcW w:w="1417" w:type="dxa"/>
            <w:tcBorders>
              <w:bottom w:val="single" w:sz="4" w:space="0" w:color="auto"/>
            </w:tcBorders>
          </w:tcPr>
          <w:p w14:paraId="2475C4B1" w14:textId="77777777" w:rsidR="000C7D27" w:rsidRPr="008C22FB" w:rsidRDefault="000C7D27" w:rsidP="007E5BED">
            <w:pPr>
              <w:pStyle w:val="Tabletext"/>
            </w:pPr>
            <w:r w:rsidRPr="008C22FB">
              <w:t>University course 14%</w:t>
            </w:r>
          </w:p>
        </w:tc>
        <w:tc>
          <w:tcPr>
            <w:tcW w:w="1418" w:type="dxa"/>
            <w:tcBorders>
              <w:bottom w:val="single" w:sz="4" w:space="0" w:color="auto"/>
            </w:tcBorders>
          </w:tcPr>
          <w:p w14:paraId="55078860" w14:textId="77777777" w:rsidR="000C7D27" w:rsidRPr="008C22FB" w:rsidRDefault="000C7D27" w:rsidP="007E5BED">
            <w:pPr>
              <w:pStyle w:val="Tabletext"/>
            </w:pPr>
            <w:r w:rsidRPr="008C22FB">
              <w:t>Non-formal study (3%)</w:t>
            </w:r>
          </w:p>
        </w:tc>
      </w:tr>
      <w:tr w:rsidR="000C7D27" w:rsidRPr="008C22FB" w14:paraId="269ECAB3" w14:textId="77777777" w:rsidTr="00955353">
        <w:tc>
          <w:tcPr>
            <w:tcW w:w="1560" w:type="dxa"/>
            <w:tcBorders>
              <w:top w:val="single" w:sz="4" w:space="0" w:color="auto"/>
            </w:tcBorders>
          </w:tcPr>
          <w:p w14:paraId="4AD3804E" w14:textId="77777777" w:rsidR="000C7D27" w:rsidRPr="00955353" w:rsidRDefault="000C7D27" w:rsidP="007E5BED">
            <w:pPr>
              <w:pStyle w:val="Tabletext"/>
            </w:pPr>
            <w:r w:rsidRPr="00955353">
              <w:t>No post-school program (13%)</w:t>
            </w:r>
          </w:p>
        </w:tc>
        <w:tc>
          <w:tcPr>
            <w:tcW w:w="1417" w:type="dxa"/>
            <w:tcBorders>
              <w:top w:val="single" w:sz="4" w:space="0" w:color="auto"/>
            </w:tcBorders>
          </w:tcPr>
          <w:p w14:paraId="2EEE1078" w14:textId="77777777" w:rsidR="000C7D27" w:rsidRPr="008C22FB" w:rsidRDefault="000C7D27" w:rsidP="007E5BED">
            <w:pPr>
              <w:pStyle w:val="Tabletext"/>
            </w:pPr>
            <w:r w:rsidRPr="008C22FB">
              <w:t>n/a</w:t>
            </w:r>
          </w:p>
        </w:tc>
        <w:tc>
          <w:tcPr>
            <w:tcW w:w="1276" w:type="dxa"/>
            <w:tcBorders>
              <w:top w:val="single" w:sz="4" w:space="0" w:color="auto"/>
            </w:tcBorders>
          </w:tcPr>
          <w:p w14:paraId="7DFAA727" w14:textId="77777777" w:rsidR="000C7D27" w:rsidRPr="008C22FB" w:rsidRDefault="000C7D27" w:rsidP="007E5BED">
            <w:pPr>
              <w:pStyle w:val="Tabletext"/>
            </w:pPr>
            <w:r w:rsidRPr="008C22FB">
              <w:t>n/a</w:t>
            </w:r>
          </w:p>
        </w:tc>
        <w:tc>
          <w:tcPr>
            <w:tcW w:w="1276" w:type="dxa"/>
            <w:tcBorders>
              <w:top w:val="single" w:sz="4" w:space="0" w:color="auto"/>
            </w:tcBorders>
          </w:tcPr>
          <w:p w14:paraId="13EB8206" w14:textId="77777777" w:rsidR="000C7D27" w:rsidRPr="008C22FB" w:rsidRDefault="000C7D27" w:rsidP="007E5BED">
            <w:pPr>
              <w:pStyle w:val="Tabletext"/>
            </w:pPr>
            <w:r w:rsidRPr="008C22FB">
              <w:t>n/a</w:t>
            </w:r>
          </w:p>
        </w:tc>
        <w:tc>
          <w:tcPr>
            <w:tcW w:w="1417" w:type="dxa"/>
            <w:tcBorders>
              <w:top w:val="single" w:sz="4" w:space="0" w:color="auto"/>
            </w:tcBorders>
          </w:tcPr>
          <w:p w14:paraId="4CE7E796" w14:textId="77777777" w:rsidR="000C7D27" w:rsidRPr="008C22FB" w:rsidRDefault="000C7D27" w:rsidP="007E5BED">
            <w:pPr>
              <w:pStyle w:val="Tabletext"/>
            </w:pPr>
            <w:r w:rsidRPr="008C22FB">
              <w:t>n/a</w:t>
            </w:r>
          </w:p>
        </w:tc>
        <w:tc>
          <w:tcPr>
            <w:tcW w:w="1418" w:type="dxa"/>
            <w:tcBorders>
              <w:top w:val="single" w:sz="4" w:space="0" w:color="auto"/>
            </w:tcBorders>
          </w:tcPr>
          <w:p w14:paraId="77AC434D" w14:textId="77777777" w:rsidR="000C7D27" w:rsidRPr="008C22FB" w:rsidRDefault="000C7D27" w:rsidP="007E5BED">
            <w:pPr>
              <w:pStyle w:val="Tabletext"/>
            </w:pPr>
            <w:r w:rsidRPr="008C22FB">
              <w:t>n/a</w:t>
            </w:r>
          </w:p>
        </w:tc>
      </w:tr>
      <w:tr w:rsidR="000C7D27" w:rsidRPr="008C22FB" w14:paraId="5CABA478" w14:textId="77777777" w:rsidTr="00955353">
        <w:tc>
          <w:tcPr>
            <w:tcW w:w="1560" w:type="dxa"/>
          </w:tcPr>
          <w:p w14:paraId="34D2F3E5" w14:textId="77777777" w:rsidR="000C7D27" w:rsidRPr="00955353" w:rsidRDefault="000C7D27" w:rsidP="007E5BED">
            <w:pPr>
              <w:pStyle w:val="Tabletext"/>
            </w:pPr>
            <w:r w:rsidRPr="00955353">
              <w:t xml:space="preserve">Apprenticeship </w:t>
            </w:r>
            <w:r w:rsidRPr="00955353">
              <w:br/>
              <w:t>(19%)</w:t>
            </w:r>
          </w:p>
        </w:tc>
        <w:tc>
          <w:tcPr>
            <w:tcW w:w="1417" w:type="dxa"/>
          </w:tcPr>
          <w:p w14:paraId="1BE35AE1" w14:textId="77777777" w:rsidR="000C7D27" w:rsidRPr="008C22FB" w:rsidRDefault="000C7D27" w:rsidP="007E5BED">
            <w:pPr>
              <w:pStyle w:val="Tabletext"/>
            </w:pPr>
            <w:r w:rsidRPr="008C22FB">
              <w:t>62</w:t>
            </w:r>
          </w:p>
        </w:tc>
        <w:tc>
          <w:tcPr>
            <w:tcW w:w="1276" w:type="dxa"/>
          </w:tcPr>
          <w:p w14:paraId="7C223689" w14:textId="77777777" w:rsidR="000C7D27" w:rsidRPr="008C22FB" w:rsidRDefault="000C7D27" w:rsidP="007E5BED">
            <w:pPr>
              <w:pStyle w:val="Tabletext"/>
            </w:pPr>
            <w:r w:rsidRPr="008C22FB">
              <w:t>17</w:t>
            </w:r>
          </w:p>
        </w:tc>
        <w:tc>
          <w:tcPr>
            <w:tcW w:w="1276" w:type="dxa"/>
          </w:tcPr>
          <w:p w14:paraId="47932CF1" w14:textId="77777777" w:rsidR="000C7D27" w:rsidRPr="008C22FB" w:rsidRDefault="000C7D27" w:rsidP="007E5BED">
            <w:pPr>
              <w:pStyle w:val="Tabletext"/>
            </w:pPr>
            <w:r w:rsidRPr="008C22FB">
              <w:t>12</w:t>
            </w:r>
          </w:p>
        </w:tc>
        <w:tc>
          <w:tcPr>
            <w:tcW w:w="1417" w:type="dxa"/>
          </w:tcPr>
          <w:p w14:paraId="742FE719" w14:textId="77777777" w:rsidR="000C7D27" w:rsidRPr="008C22FB" w:rsidRDefault="000C7D27" w:rsidP="007E5BED">
            <w:pPr>
              <w:pStyle w:val="Tabletext"/>
            </w:pPr>
            <w:r w:rsidRPr="008C22FB">
              <w:t>5</w:t>
            </w:r>
          </w:p>
        </w:tc>
        <w:tc>
          <w:tcPr>
            <w:tcW w:w="1418" w:type="dxa"/>
          </w:tcPr>
          <w:p w14:paraId="6CC1AA35" w14:textId="77777777" w:rsidR="000C7D27" w:rsidRPr="008C22FB" w:rsidRDefault="000C7D27" w:rsidP="007E5BED">
            <w:pPr>
              <w:pStyle w:val="Tabletext"/>
            </w:pPr>
            <w:r w:rsidRPr="008C22FB">
              <w:t>n/a</w:t>
            </w:r>
          </w:p>
        </w:tc>
      </w:tr>
      <w:tr w:rsidR="000C7D27" w:rsidRPr="008C22FB" w14:paraId="3EBCA88A" w14:textId="77777777" w:rsidTr="00955353">
        <w:tc>
          <w:tcPr>
            <w:tcW w:w="1560" w:type="dxa"/>
          </w:tcPr>
          <w:p w14:paraId="3FD17B1E" w14:textId="77777777" w:rsidR="000C7D27" w:rsidRPr="00955353" w:rsidRDefault="000C7D27" w:rsidP="007E5BED">
            <w:pPr>
              <w:pStyle w:val="Tabletext"/>
            </w:pPr>
            <w:r w:rsidRPr="00955353">
              <w:t xml:space="preserve">TAFE course </w:t>
            </w:r>
            <w:r w:rsidRPr="00955353">
              <w:br/>
              <w:t>(25%)</w:t>
            </w:r>
          </w:p>
        </w:tc>
        <w:tc>
          <w:tcPr>
            <w:tcW w:w="1417" w:type="dxa"/>
          </w:tcPr>
          <w:p w14:paraId="626CFA79" w14:textId="77777777" w:rsidR="000C7D27" w:rsidRPr="008C22FB" w:rsidRDefault="000C7D27" w:rsidP="007E5BED">
            <w:pPr>
              <w:pStyle w:val="Tabletext"/>
            </w:pPr>
            <w:r w:rsidRPr="008C22FB">
              <w:t>45</w:t>
            </w:r>
          </w:p>
        </w:tc>
        <w:tc>
          <w:tcPr>
            <w:tcW w:w="1276" w:type="dxa"/>
          </w:tcPr>
          <w:p w14:paraId="09D1E63A" w14:textId="77777777" w:rsidR="000C7D27" w:rsidRPr="008C22FB" w:rsidRDefault="000C7D27" w:rsidP="007E5BED">
            <w:pPr>
              <w:pStyle w:val="Tabletext"/>
            </w:pPr>
            <w:r w:rsidRPr="008C22FB">
              <w:t>9</w:t>
            </w:r>
          </w:p>
        </w:tc>
        <w:tc>
          <w:tcPr>
            <w:tcW w:w="1276" w:type="dxa"/>
          </w:tcPr>
          <w:p w14:paraId="5479F29F" w14:textId="77777777" w:rsidR="000C7D27" w:rsidRPr="008C22FB" w:rsidRDefault="000C7D27" w:rsidP="007E5BED">
            <w:pPr>
              <w:pStyle w:val="Tabletext"/>
            </w:pPr>
            <w:r w:rsidRPr="008C22FB">
              <w:t>26</w:t>
            </w:r>
          </w:p>
        </w:tc>
        <w:tc>
          <w:tcPr>
            <w:tcW w:w="1417" w:type="dxa"/>
          </w:tcPr>
          <w:p w14:paraId="655D9666" w14:textId="77777777" w:rsidR="000C7D27" w:rsidRPr="008C22FB" w:rsidRDefault="000C7D27" w:rsidP="007E5BED">
            <w:pPr>
              <w:pStyle w:val="Tabletext"/>
            </w:pPr>
            <w:r w:rsidRPr="008C22FB">
              <w:t>14</w:t>
            </w:r>
          </w:p>
        </w:tc>
        <w:tc>
          <w:tcPr>
            <w:tcW w:w="1418" w:type="dxa"/>
          </w:tcPr>
          <w:p w14:paraId="525FC2B0" w14:textId="77777777" w:rsidR="000C7D27" w:rsidRPr="008C22FB" w:rsidRDefault="000C7D27" w:rsidP="007E5BED">
            <w:pPr>
              <w:pStyle w:val="Tabletext"/>
            </w:pPr>
            <w:r w:rsidRPr="008C22FB">
              <w:t>n/a</w:t>
            </w:r>
          </w:p>
        </w:tc>
      </w:tr>
      <w:tr w:rsidR="000C7D27" w:rsidRPr="008C22FB" w14:paraId="02360345" w14:textId="77777777" w:rsidTr="00955353">
        <w:tc>
          <w:tcPr>
            <w:tcW w:w="1560" w:type="dxa"/>
          </w:tcPr>
          <w:p w14:paraId="669A7E5D" w14:textId="77777777" w:rsidR="000C7D27" w:rsidRPr="00955353" w:rsidRDefault="000C7D27" w:rsidP="007E5BED">
            <w:pPr>
              <w:pStyle w:val="Tabletext"/>
            </w:pPr>
            <w:r w:rsidRPr="00955353">
              <w:t>University course (41%)</w:t>
            </w:r>
          </w:p>
        </w:tc>
        <w:tc>
          <w:tcPr>
            <w:tcW w:w="1417" w:type="dxa"/>
          </w:tcPr>
          <w:p w14:paraId="4FEE9385" w14:textId="77777777" w:rsidR="000C7D27" w:rsidRPr="008C22FB" w:rsidRDefault="000C7D27" w:rsidP="007E5BED">
            <w:pPr>
              <w:pStyle w:val="Tabletext"/>
            </w:pPr>
            <w:r w:rsidRPr="008C22FB">
              <w:t>65</w:t>
            </w:r>
          </w:p>
        </w:tc>
        <w:tc>
          <w:tcPr>
            <w:tcW w:w="1276" w:type="dxa"/>
          </w:tcPr>
          <w:p w14:paraId="0E9E3813" w14:textId="77777777" w:rsidR="000C7D27" w:rsidRPr="008C22FB" w:rsidRDefault="000C7D27" w:rsidP="007E5BED">
            <w:pPr>
              <w:pStyle w:val="Tabletext"/>
            </w:pPr>
            <w:r w:rsidRPr="008C22FB">
              <w:t>3</w:t>
            </w:r>
          </w:p>
        </w:tc>
        <w:tc>
          <w:tcPr>
            <w:tcW w:w="1276" w:type="dxa"/>
          </w:tcPr>
          <w:p w14:paraId="66D9F3D0" w14:textId="77777777" w:rsidR="000C7D27" w:rsidRPr="008C22FB" w:rsidRDefault="000C7D27" w:rsidP="007E5BED">
            <w:pPr>
              <w:pStyle w:val="Tabletext"/>
            </w:pPr>
            <w:r w:rsidRPr="008C22FB">
              <w:t>6</w:t>
            </w:r>
          </w:p>
        </w:tc>
        <w:tc>
          <w:tcPr>
            <w:tcW w:w="1417" w:type="dxa"/>
          </w:tcPr>
          <w:p w14:paraId="526B5445" w14:textId="77777777" w:rsidR="000C7D27" w:rsidRPr="008C22FB" w:rsidRDefault="000C7D27" w:rsidP="007E5BED">
            <w:pPr>
              <w:pStyle w:val="Tabletext"/>
            </w:pPr>
            <w:r w:rsidRPr="008C22FB">
              <w:t>24</w:t>
            </w:r>
          </w:p>
        </w:tc>
        <w:tc>
          <w:tcPr>
            <w:tcW w:w="1418" w:type="dxa"/>
          </w:tcPr>
          <w:p w14:paraId="7A8CAF82" w14:textId="77777777" w:rsidR="000C7D27" w:rsidRPr="008C22FB" w:rsidRDefault="000C7D27" w:rsidP="007E5BED">
            <w:pPr>
              <w:pStyle w:val="Tabletext"/>
            </w:pPr>
            <w:r w:rsidRPr="008C22FB">
              <w:t>n/a</w:t>
            </w:r>
          </w:p>
        </w:tc>
      </w:tr>
      <w:tr w:rsidR="000C7D27" w:rsidRPr="008C22FB" w14:paraId="4B6046FF" w14:textId="77777777" w:rsidTr="00955353">
        <w:tc>
          <w:tcPr>
            <w:tcW w:w="1560" w:type="dxa"/>
            <w:tcBorders>
              <w:bottom w:val="single" w:sz="4" w:space="0" w:color="auto"/>
            </w:tcBorders>
          </w:tcPr>
          <w:p w14:paraId="6D28170D" w14:textId="77777777" w:rsidR="000C7D27" w:rsidRPr="00955353" w:rsidRDefault="000C7D27" w:rsidP="007E5BED">
            <w:pPr>
              <w:pStyle w:val="Tabletext"/>
            </w:pPr>
            <w:r w:rsidRPr="00955353">
              <w:t>Non-formal study (2%)</w:t>
            </w:r>
          </w:p>
        </w:tc>
        <w:tc>
          <w:tcPr>
            <w:tcW w:w="1417" w:type="dxa"/>
            <w:tcBorders>
              <w:bottom w:val="single" w:sz="4" w:space="0" w:color="auto"/>
            </w:tcBorders>
          </w:tcPr>
          <w:p w14:paraId="36093547" w14:textId="77777777" w:rsidR="000C7D27" w:rsidRPr="008C22FB" w:rsidRDefault="000C7D27" w:rsidP="007E5BED">
            <w:pPr>
              <w:pStyle w:val="Tabletext"/>
            </w:pPr>
            <w:r w:rsidRPr="008C22FB">
              <w:t>n/a</w:t>
            </w:r>
          </w:p>
        </w:tc>
        <w:tc>
          <w:tcPr>
            <w:tcW w:w="1276" w:type="dxa"/>
            <w:tcBorders>
              <w:bottom w:val="single" w:sz="4" w:space="0" w:color="auto"/>
            </w:tcBorders>
          </w:tcPr>
          <w:p w14:paraId="1A4DB066" w14:textId="77777777" w:rsidR="000C7D27" w:rsidRPr="008C22FB" w:rsidRDefault="000C7D27" w:rsidP="007E5BED">
            <w:pPr>
              <w:pStyle w:val="Tabletext"/>
            </w:pPr>
            <w:r w:rsidRPr="008C22FB">
              <w:t>n/a</w:t>
            </w:r>
          </w:p>
        </w:tc>
        <w:tc>
          <w:tcPr>
            <w:tcW w:w="1276" w:type="dxa"/>
            <w:tcBorders>
              <w:bottom w:val="single" w:sz="4" w:space="0" w:color="auto"/>
            </w:tcBorders>
          </w:tcPr>
          <w:p w14:paraId="3174F719" w14:textId="77777777" w:rsidR="000C7D27" w:rsidRPr="008C22FB" w:rsidRDefault="000C7D27" w:rsidP="007E5BED">
            <w:pPr>
              <w:pStyle w:val="Tabletext"/>
            </w:pPr>
            <w:r w:rsidRPr="008C22FB">
              <w:t>n/a</w:t>
            </w:r>
          </w:p>
        </w:tc>
        <w:tc>
          <w:tcPr>
            <w:tcW w:w="1417" w:type="dxa"/>
            <w:tcBorders>
              <w:bottom w:val="single" w:sz="4" w:space="0" w:color="auto"/>
            </w:tcBorders>
          </w:tcPr>
          <w:p w14:paraId="6F383CD7" w14:textId="77777777" w:rsidR="000C7D27" w:rsidRPr="008C22FB" w:rsidRDefault="000C7D27" w:rsidP="007E5BED">
            <w:pPr>
              <w:pStyle w:val="Tabletext"/>
            </w:pPr>
            <w:r w:rsidRPr="008C22FB">
              <w:t>n/a</w:t>
            </w:r>
          </w:p>
        </w:tc>
        <w:tc>
          <w:tcPr>
            <w:tcW w:w="1418" w:type="dxa"/>
            <w:tcBorders>
              <w:bottom w:val="single" w:sz="4" w:space="0" w:color="auto"/>
            </w:tcBorders>
          </w:tcPr>
          <w:p w14:paraId="5B82FE3D" w14:textId="77777777" w:rsidR="000C7D27" w:rsidRPr="008C22FB" w:rsidRDefault="000C7D27" w:rsidP="007E5BED">
            <w:pPr>
              <w:pStyle w:val="Tabletext"/>
            </w:pPr>
            <w:r w:rsidRPr="008C22FB">
              <w:t>n/a</w:t>
            </w:r>
          </w:p>
        </w:tc>
      </w:tr>
    </w:tbl>
    <w:bookmarkEnd w:id="116"/>
    <w:bookmarkEnd w:id="117"/>
    <w:p w14:paraId="47908080" w14:textId="4060D29D" w:rsidR="000C7D27" w:rsidRDefault="000C7D27" w:rsidP="00061C61">
      <w:pPr>
        <w:pStyle w:val="Source"/>
        <w:tabs>
          <w:tab w:val="left" w:pos="4111"/>
        </w:tabs>
        <w:ind w:left="0" w:firstLine="0"/>
      </w:pPr>
      <w:r w:rsidRPr="008C22FB">
        <w:t>Notes:</w:t>
      </w:r>
      <w:r w:rsidR="004A4218">
        <w:t xml:space="preserve"> </w:t>
      </w:r>
      <w:r w:rsidRPr="008C22FB">
        <w:t>Row and column totals may not sum to 100% because of rounding.</w:t>
      </w:r>
      <w:r w:rsidRPr="008C22FB">
        <w:br/>
        <w:t>n/a indicates either not applicable (</w:t>
      </w:r>
      <w:r w:rsidR="004B27B2">
        <w:t>for example,</w:t>
      </w:r>
      <w:r w:rsidRPr="008C22FB">
        <w:t xml:space="preserve"> no post-school study therefore no possible transfer) or too few cases to enable reliable estimates to be made.</w:t>
      </w:r>
    </w:p>
    <w:p w14:paraId="0D9E7C81" w14:textId="77777777" w:rsidR="000C7D27" w:rsidRDefault="000C7D27" w:rsidP="000C7D27">
      <w:pPr>
        <w:pStyle w:val="Heading2"/>
        <w:rPr>
          <w:lang w:eastAsia="en-AU"/>
        </w:rPr>
      </w:pPr>
      <w:bookmarkStart w:id="118" w:name="_Toc15048910"/>
      <w:bookmarkStart w:id="119" w:name="_Toc19803923"/>
      <w:r>
        <w:rPr>
          <w:lang w:eastAsia="en-AU"/>
        </w:rPr>
        <w:lastRenderedPageBreak/>
        <w:t>What has changed?</w:t>
      </w:r>
      <w:bookmarkEnd w:id="118"/>
      <w:bookmarkEnd w:id="119"/>
    </w:p>
    <w:p w14:paraId="141B17B7" w14:textId="1597E1FF" w:rsidR="000C7D27" w:rsidRDefault="000C7D27" w:rsidP="00782717">
      <w:pPr>
        <w:pStyle w:val="Text"/>
        <w:rPr>
          <w:lang w:eastAsia="en-AU"/>
        </w:rPr>
      </w:pPr>
      <w:r>
        <w:rPr>
          <w:lang w:eastAsia="en-AU"/>
        </w:rPr>
        <w:t>The analyses presented above were undertaken in 2006. Many features of the post</w:t>
      </w:r>
      <w:r w:rsidR="007F23B1">
        <w:rPr>
          <w:lang w:eastAsia="en-AU"/>
        </w:rPr>
        <w:t>-</w:t>
      </w:r>
      <w:r>
        <w:rPr>
          <w:lang w:eastAsia="en-AU"/>
        </w:rPr>
        <w:t xml:space="preserve">secondary and labour market landscapes have changed markedly since that time. </w:t>
      </w:r>
      <w:r w:rsidR="00782717">
        <w:rPr>
          <w:lang w:eastAsia="en-AU"/>
        </w:rPr>
        <w:t xml:space="preserve">Two </w:t>
      </w:r>
      <w:r>
        <w:rPr>
          <w:lang w:eastAsia="en-AU"/>
        </w:rPr>
        <w:t>notable changes have been</w:t>
      </w:r>
    </w:p>
    <w:p w14:paraId="6E697975" w14:textId="5E863ABF" w:rsidR="000C7D27" w:rsidRDefault="000C7D27" w:rsidP="00782717">
      <w:pPr>
        <w:pStyle w:val="Text"/>
        <w:numPr>
          <w:ilvl w:val="0"/>
          <w:numId w:val="27"/>
        </w:numPr>
        <w:rPr>
          <w:lang w:eastAsia="en-AU"/>
        </w:rPr>
      </w:pPr>
      <w:r>
        <w:rPr>
          <w:lang w:eastAsia="en-AU"/>
        </w:rPr>
        <w:t xml:space="preserve">the </w:t>
      </w:r>
      <w:r w:rsidR="007F23B1">
        <w:rPr>
          <w:lang w:eastAsia="en-AU"/>
        </w:rPr>
        <w:t xml:space="preserve">Global Financial Crisis </w:t>
      </w:r>
      <w:r w:rsidR="00763BC7">
        <w:rPr>
          <w:lang w:eastAsia="en-AU"/>
        </w:rPr>
        <w:t xml:space="preserve">(GFC) </w:t>
      </w:r>
      <w:r>
        <w:rPr>
          <w:lang w:eastAsia="en-AU"/>
        </w:rPr>
        <w:t>of 2008</w:t>
      </w:r>
      <w:r w:rsidR="007F23B1">
        <w:rPr>
          <w:lang w:eastAsia="en-AU"/>
        </w:rPr>
        <w:t>, which</w:t>
      </w:r>
      <w:r>
        <w:rPr>
          <w:lang w:eastAsia="en-AU"/>
        </w:rPr>
        <w:t xml:space="preserve"> led to substantial and persistent changes in the labour market</w:t>
      </w:r>
    </w:p>
    <w:p w14:paraId="5F655D43" w14:textId="3E67BB5B" w:rsidR="000C7D27" w:rsidRDefault="000C7D27" w:rsidP="00782717">
      <w:pPr>
        <w:pStyle w:val="Text"/>
        <w:numPr>
          <w:ilvl w:val="0"/>
          <w:numId w:val="27"/>
        </w:numPr>
        <w:rPr>
          <w:lang w:eastAsia="en-AU"/>
        </w:rPr>
      </w:pPr>
      <w:r>
        <w:rPr>
          <w:lang w:eastAsia="en-AU"/>
        </w:rPr>
        <w:t xml:space="preserve">policy changes in higher education following the adoption of key recommendations of the Bradley </w:t>
      </w:r>
      <w:r w:rsidR="007F23B1">
        <w:rPr>
          <w:lang w:eastAsia="en-AU"/>
        </w:rPr>
        <w:t>r</w:t>
      </w:r>
      <w:r>
        <w:rPr>
          <w:lang w:eastAsia="en-AU"/>
        </w:rPr>
        <w:t>eview into higher education</w:t>
      </w:r>
      <w:r w:rsidR="005D4044">
        <w:rPr>
          <w:lang w:eastAsia="en-AU"/>
        </w:rPr>
        <w:t xml:space="preserve"> (Bradley et al. 2008)</w:t>
      </w:r>
      <w:r>
        <w:rPr>
          <w:lang w:eastAsia="en-AU"/>
        </w:rPr>
        <w:t>.</w:t>
      </w:r>
    </w:p>
    <w:p w14:paraId="4EB7B293" w14:textId="2A9AE5AA" w:rsidR="000C7D27" w:rsidRDefault="000C7D27" w:rsidP="00782717">
      <w:pPr>
        <w:pStyle w:val="Text"/>
        <w:rPr>
          <w:lang w:eastAsia="en-AU"/>
        </w:rPr>
      </w:pPr>
      <w:r>
        <w:rPr>
          <w:lang w:eastAsia="en-AU"/>
        </w:rPr>
        <w:t xml:space="preserve">Collectively, these factors and many others have influenced the labour market and post-school education and training participation in complex ways and are likely to influence transfers between sectors. </w:t>
      </w:r>
      <w:proofErr w:type="gramStart"/>
      <w:r>
        <w:rPr>
          <w:lang w:eastAsia="en-AU"/>
        </w:rPr>
        <w:t>In particular, an</w:t>
      </w:r>
      <w:proofErr w:type="gramEnd"/>
      <w:r>
        <w:rPr>
          <w:lang w:eastAsia="en-AU"/>
        </w:rPr>
        <w:t xml:space="preserve"> increase in enrolment in a sector is likely to see a greater number of students moving from that sector to the other. The focus of the discussion below is on post-school participation in VET and higher education</w:t>
      </w:r>
      <w:r w:rsidR="005D4044">
        <w:rPr>
          <w:lang w:eastAsia="en-AU"/>
        </w:rPr>
        <w:t>, with</w:t>
      </w:r>
      <w:r>
        <w:rPr>
          <w:lang w:eastAsia="en-AU"/>
        </w:rPr>
        <w:t xml:space="preserve"> students enrolled at school excluded from the analyses.</w:t>
      </w:r>
    </w:p>
    <w:p w14:paraId="784A8611" w14:textId="250D6064" w:rsidR="000C7D27" w:rsidRDefault="000C7D27" w:rsidP="000C7D27">
      <w:pPr>
        <w:pStyle w:val="Heading2"/>
        <w:rPr>
          <w:lang w:eastAsia="en-AU"/>
        </w:rPr>
      </w:pPr>
      <w:bookmarkStart w:id="120" w:name="_Toc15048911"/>
      <w:bookmarkStart w:id="121" w:name="_Toc19803924"/>
      <w:r>
        <w:rPr>
          <w:lang w:eastAsia="en-AU"/>
        </w:rPr>
        <w:t xml:space="preserve">The </w:t>
      </w:r>
      <w:r w:rsidR="005D4044">
        <w:rPr>
          <w:lang w:eastAsia="en-AU"/>
        </w:rPr>
        <w:t xml:space="preserve">Global Financial Crisis </w:t>
      </w:r>
      <w:r>
        <w:rPr>
          <w:lang w:eastAsia="en-AU"/>
        </w:rPr>
        <w:t>and the labour market</w:t>
      </w:r>
      <w:bookmarkEnd w:id="120"/>
      <w:bookmarkEnd w:id="121"/>
    </w:p>
    <w:p w14:paraId="5E06441E" w14:textId="17974C89" w:rsidR="000C7D27" w:rsidRDefault="000C7D27" w:rsidP="00782717">
      <w:pPr>
        <w:pStyle w:val="Text"/>
        <w:rPr>
          <w:lang w:eastAsia="en-AU"/>
        </w:rPr>
      </w:pPr>
      <w:r>
        <w:rPr>
          <w:lang w:eastAsia="en-AU"/>
        </w:rPr>
        <w:t>The buoyancy of the labour market exerts complex influences on post-school participation in education and training. When employment is readily available, apprenticeship commencements tend to be relatively high but enrolments in post-school education tend to be w</w:t>
      </w:r>
      <w:r w:rsidR="00782717">
        <w:rPr>
          <w:lang w:eastAsia="en-AU"/>
        </w:rPr>
        <w:t>e</w:t>
      </w:r>
      <w:r>
        <w:rPr>
          <w:lang w:eastAsia="en-AU"/>
        </w:rPr>
        <w:t>aker. On the other hand, during an economic downturn, the opportunity cost of participation in post-school education and training is reduced, so enrolments tend to be higher while apprenticeship commencements decline.</w:t>
      </w:r>
    </w:p>
    <w:p w14:paraId="144AE946" w14:textId="2136AF79" w:rsidR="00955353" w:rsidRDefault="000C7D27" w:rsidP="00782717">
      <w:pPr>
        <w:pStyle w:val="Text"/>
        <w:rPr>
          <w:lang w:eastAsia="en-AU"/>
        </w:rPr>
      </w:pPr>
      <w:r>
        <w:rPr>
          <w:lang w:eastAsia="en-AU"/>
        </w:rPr>
        <w:t xml:space="preserve">The </w:t>
      </w:r>
      <w:r w:rsidR="00763BC7">
        <w:rPr>
          <w:lang w:eastAsia="en-AU"/>
        </w:rPr>
        <w:t>Global Financial Crisis</w:t>
      </w:r>
      <w:r>
        <w:rPr>
          <w:lang w:eastAsia="en-AU"/>
        </w:rPr>
        <w:t xml:space="preserve"> began in 2008, but its influence on the Australian labour market was moderated by government interventions aimed at stimulating demand for goods and services and by stimulating employment through infrastructure investment. These interventions both moderated and delayed the effects of the GFC that were felt in other economies. Its influence in Australia can be seen in unemployment data from 2006 to 2016 (see </w:t>
      </w:r>
      <w:r w:rsidR="00763BC7">
        <w:rPr>
          <w:lang w:eastAsia="en-AU"/>
        </w:rPr>
        <w:t>t</w:t>
      </w:r>
      <w:r>
        <w:rPr>
          <w:lang w:eastAsia="en-AU"/>
        </w:rPr>
        <w:t xml:space="preserve">able </w:t>
      </w:r>
      <w:r w:rsidR="00061C61">
        <w:rPr>
          <w:lang w:eastAsia="en-AU"/>
        </w:rPr>
        <w:t>10</w:t>
      </w:r>
      <w:r>
        <w:rPr>
          <w:lang w:eastAsia="en-AU"/>
        </w:rPr>
        <w:t xml:space="preserve">). </w:t>
      </w:r>
      <w:proofErr w:type="gramStart"/>
      <w:r>
        <w:rPr>
          <w:lang w:eastAsia="en-AU"/>
        </w:rPr>
        <w:t>In particular, new</w:t>
      </w:r>
      <w:proofErr w:type="gramEnd"/>
      <w:r>
        <w:rPr>
          <w:lang w:eastAsia="en-AU"/>
        </w:rPr>
        <w:t xml:space="preserve"> entrants to the labour market are particularly vulnerable to declining labour market conditions, their unemployment rate being more than double that for the aggregate labour market. This difficulty is reflected in apprenticeship commencements. Apprenticeship commencements for post-school 15 to </w:t>
      </w:r>
      <w:r w:rsidR="00782717">
        <w:rPr>
          <w:lang w:eastAsia="en-AU"/>
        </w:rPr>
        <w:t>24-year-olds</w:t>
      </w:r>
      <w:r>
        <w:rPr>
          <w:lang w:eastAsia="en-AU"/>
        </w:rPr>
        <w:t xml:space="preserve"> from 2006 to 2016 are also shown in </w:t>
      </w:r>
      <w:r w:rsidR="00662413">
        <w:rPr>
          <w:lang w:eastAsia="en-AU"/>
        </w:rPr>
        <w:t>t</w:t>
      </w:r>
      <w:r>
        <w:rPr>
          <w:lang w:eastAsia="en-AU"/>
        </w:rPr>
        <w:t xml:space="preserve">able </w:t>
      </w:r>
      <w:r w:rsidR="000B16B7">
        <w:rPr>
          <w:lang w:eastAsia="en-AU"/>
        </w:rPr>
        <w:t>10</w:t>
      </w:r>
      <w:r>
        <w:rPr>
          <w:lang w:eastAsia="en-AU"/>
        </w:rPr>
        <w:t xml:space="preserve"> and they reflect the unemployment rate: as it increases, apprenticeship commencements decline.</w:t>
      </w:r>
    </w:p>
    <w:p w14:paraId="49F67B2A" w14:textId="77777777" w:rsidR="00955353" w:rsidRDefault="00955353">
      <w:pPr>
        <w:spacing w:before="0" w:line="240" w:lineRule="auto"/>
        <w:rPr>
          <w:lang w:eastAsia="en-AU"/>
        </w:rPr>
      </w:pPr>
      <w:r>
        <w:rPr>
          <w:lang w:eastAsia="en-AU"/>
        </w:rPr>
        <w:br w:type="page"/>
      </w:r>
    </w:p>
    <w:p w14:paraId="34F5A5B1" w14:textId="64F42645" w:rsidR="000C7D27" w:rsidRDefault="000C7D27" w:rsidP="00740088">
      <w:pPr>
        <w:pStyle w:val="tabletitle0"/>
      </w:pPr>
      <w:bookmarkStart w:id="122" w:name="_Ref532889353"/>
      <w:bookmarkStart w:id="123" w:name="_Toc19001667"/>
      <w:r>
        <w:lastRenderedPageBreak/>
        <w:t xml:space="preserve">Table </w:t>
      </w:r>
      <w:bookmarkEnd w:id="122"/>
      <w:r w:rsidR="00061C61" w:rsidRPr="00366753">
        <w:rPr>
          <w:rStyle w:val="CommentReference"/>
          <w:rFonts w:cs="Arial"/>
          <w:lang w:eastAsia="en-AU"/>
        </w:rPr>
        <w:t>10</w:t>
      </w:r>
      <w:r>
        <w:tab/>
        <w:t>Unemployment rates and apprenticeship commencements by selected age groups, 2006</w:t>
      </w:r>
      <w:r w:rsidR="00233F5A">
        <w:rPr>
          <w:rFonts w:cs="Arial"/>
        </w:rPr>
        <w:t>−</w:t>
      </w:r>
      <w:r>
        <w:t>16</w:t>
      </w:r>
      <w:bookmarkEnd w:id="123"/>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567"/>
        <w:gridCol w:w="567"/>
        <w:gridCol w:w="567"/>
        <w:gridCol w:w="426"/>
        <w:gridCol w:w="992"/>
        <w:gridCol w:w="142"/>
        <w:gridCol w:w="1417"/>
        <w:gridCol w:w="992"/>
        <w:gridCol w:w="1134"/>
        <w:gridCol w:w="993"/>
      </w:tblGrid>
      <w:tr w:rsidR="000C7D27" w:rsidRPr="00B00EED" w14:paraId="533262B4" w14:textId="77777777" w:rsidTr="00955353">
        <w:tc>
          <w:tcPr>
            <w:tcW w:w="567" w:type="dxa"/>
            <w:tcBorders>
              <w:top w:val="single" w:sz="4" w:space="0" w:color="auto"/>
            </w:tcBorders>
          </w:tcPr>
          <w:p w14:paraId="4EE24BBF" w14:textId="77777777" w:rsidR="000C7D27" w:rsidRPr="00CF0F45" w:rsidRDefault="000C7D27" w:rsidP="00782717">
            <w:pPr>
              <w:pStyle w:val="Tabletext"/>
              <w:rPr>
                <w:b/>
              </w:rPr>
            </w:pPr>
          </w:p>
        </w:tc>
        <w:tc>
          <w:tcPr>
            <w:tcW w:w="2694" w:type="dxa"/>
            <w:gridSpan w:val="5"/>
            <w:tcBorders>
              <w:top w:val="single" w:sz="4" w:space="0" w:color="auto"/>
            </w:tcBorders>
          </w:tcPr>
          <w:p w14:paraId="5A80AD0F" w14:textId="77777777" w:rsidR="000C7D27" w:rsidRPr="00CF0F45" w:rsidRDefault="000C7D27" w:rsidP="00284783">
            <w:pPr>
              <w:pStyle w:val="Tabletext"/>
              <w:jc w:val="center"/>
              <w:rPr>
                <w:b/>
              </w:rPr>
            </w:pPr>
            <w:r w:rsidRPr="00CF0F45">
              <w:rPr>
                <w:b/>
              </w:rPr>
              <w:t>Unemployment rate (%)</w:t>
            </w:r>
          </w:p>
        </w:tc>
        <w:tc>
          <w:tcPr>
            <w:tcW w:w="4536" w:type="dxa"/>
            <w:gridSpan w:val="4"/>
            <w:tcBorders>
              <w:top w:val="single" w:sz="4" w:space="0" w:color="auto"/>
            </w:tcBorders>
          </w:tcPr>
          <w:p w14:paraId="157C0E04" w14:textId="77777777" w:rsidR="000C7D27" w:rsidRPr="00CF0F45" w:rsidRDefault="000C7D27" w:rsidP="00284783">
            <w:pPr>
              <w:pStyle w:val="Tabletext"/>
              <w:jc w:val="center"/>
              <w:rPr>
                <w:b/>
              </w:rPr>
            </w:pPr>
            <w:r w:rsidRPr="00CF0F45">
              <w:rPr>
                <w:b/>
              </w:rPr>
              <w:t>Apprenticeship commencements (‘000) by age group</w:t>
            </w:r>
          </w:p>
        </w:tc>
      </w:tr>
      <w:tr w:rsidR="000C7D27" w:rsidRPr="00B00EED" w14:paraId="31DB1AB6" w14:textId="77777777" w:rsidTr="00955353">
        <w:tc>
          <w:tcPr>
            <w:tcW w:w="567" w:type="dxa"/>
            <w:tcBorders>
              <w:bottom w:val="single" w:sz="4" w:space="0" w:color="auto"/>
            </w:tcBorders>
          </w:tcPr>
          <w:p w14:paraId="4F017685" w14:textId="77777777" w:rsidR="000C7D27" w:rsidRPr="00B00EED" w:rsidRDefault="000C7D27" w:rsidP="00782717">
            <w:pPr>
              <w:pStyle w:val="Tabletext"/>
            </w:pPr>
            <w:r w:rsidRPr="00B00EED">
              <w:t>Year</w:t>
            </w:r>
          </w:p>
        </w:tc>
        <w:tc>
          <w:tcPr>
            <w:tcW w:w="1560" w:type="dxa"/>
            <w:gridSpan w:val="3"/>
            <w:tcBorders>
              <w:bottom w:val="single" w:sz="4" w:space="0" w:color="auto"/>
            </w:tcBorders>
          </w:tcPr>
          <w:p w14:paraId="062CB213" w14:textId="26F89270" w:rsidR="000C7D27" w:rsidRPr="00B00EED" w:rsidRDefault="000C7D27" w:rsidP="00284783">
            <w:pPr>
              <w:pStyle w:val="Tabletext"/>
              <w:jc w:val="center"/>
            </w:pPr>
            <w:r w:rsidRPr="00B00EED">
              <w:t>15</w:t>
            </w:r>
            <w:r w:rsidR="007966D1">
              <w:rPr>
                <w:rFonts w:cs="Arial"/>
              </w:rPr>
              <w:t>−</w:t>
            </w:r>
            <w:r w:rsidRPr="00B00EED">
              <w:t>24</w:t>
            </w:r>
            <w:r w:rsidR="00284783">
              <w:t xml:space="preserve"> </w:t>
            </w:r>
            <w:r w:rsidRPr="00B00EED">
              <w:t>y</w:t>
            </w:r>
            <w:r>
              <w:t>ears</w:t>
            </w:r>
          </w:p>
        </w:tc>
        <w:tc>
          <w:tcPr>
            <w:tcW w:w="1134" w:type="dxa"/>
            <w:gridSpan w:val="2"/>
            <w:tcBorders>
              <w:bottom w:val="single" w:sz="4" w:space="0" w:color="auto"/>
            </w:tcBorders>
          </w:tcPr>
          <w:p w14:paraId="7BB829A3" w14:textId="77777777" w:rsidR="000C7D27" w:rsidRPr="00B00EED" w:rsidRDefault="000C7D27" w:rsidP="00284783">
            <w:pPr>
              <w:pStyle w:val="Tabletext"/>
              <w:ind w:right="170"/>
              <w:jc w:val="center"/>
            </w:pPr>
            <w:r w:rsidRPr="00B00EED">
              <w:t>All</w:t>
            </w:r>
          </w:p>
        </w:tc>
        <w:tc>
          <w:tcPr>
            <w:tcW w:w="1417" w:type="dxa"/>
            <w:tcBorders>
              <w:bottom w:val="single" w:sz="4" w:space="0" w:color="auto"/>
            </w:tcBorders>
          </w:tcPr>
          <w:p w14:paraId="63224EE5" w14:textId="77777777" w:rsidR="000C7D27" w:rsidRPr="00B00EED" w:rsidRDefault="000C7D27" w:rsidP="00284783">
            <w:pPr>
              <w:pStyle w:val="Tabletext"/>
              <w:jc w:val="center"/>
            </w:pPr>
            <w:r w:rsidRPr="00B00EED">
              <w:t>19 years and under</w:t>
            </w:r>
          </w:p>
        </w:tc>
        <w:tc>
          <w:tcPr>
            <w:tcW w:w="992" w:type="dxa"/>
            <w:tcBorders>
              <w:bottom w:val="single" w:sz="4" w:space="0" w:color="auto"/>
            </w:tcBorders>
          </w:tcPr>
          <w:p w14:paraId="36398A9F" w14:textId="59624778" w:rsidR="000C7D27" w:rsidRPr="00B00EED" w:rsidRDefault="000C7D27" w:rsidP="00284783">
            <w:pPr>
              <w:pStyle w:val="Tabletext"/>
              <w:jc w:val="center"/>
            </w:pPr>
            <w:r w:rsidRPr="00B00EED">
              <w:t>20</w:t>
            </w:r>
            <w:r w:rsidR="007966D1">
              <w:rPr>
                <w:rFonts w:cs="Arial"/>
              </w:rPr>
              <w:t>−</w:t>
            </w:r>
            <w:r w:rsidRPr="00B00EED">
              <w:t>24 years</w:t>
            </w:r>
          </w:p>
        </w:tc>
        <w:tc>
          <w:tcPr>
            <w:tcW w:w="1134" w:type="dxa"/>
            <w:tcBorders>
              <w:bottom w:val="single" w:sz="4" w:space="0" w:color="auto"/>
            </w:tcBorders>
          </w:tcPr>
          <w:p w14:paraId="5887D106" w14:textId="50A03617" w:rsidR="000C7D27" w:rsidRPr="00B00EED" w:rsidRDefault="000C7D27" w:rsidP="00284783">
            <w:pPr>
              <w:pStyle w:val="Tabletext"/>
              <w:jc w:val="center"/>
            </w:pPr>
            <w:r w:rsidRPr="00B00EED">
              <w:t>&lt;19</w:t>
            </w:r>
            <w:r w:rsidR="007966D1">
              <w:rPr>
                <w:rFonts w:cs="Arial"/>
              </w:rPr>
              <w:t>−</w:t>
            </w:r>
            <w:r w:rsidRPr="00B00EED">
              <w:t>24 y</w:t>
            </w:r>
            <w:r>
              <w:t>ears</w:t>
            </w:r>
          </w:p>
        </w:tc>
        <w:tc>
          <w:tcPr>
            <w:tcW w:w="993" w:type="dxa"/>
            <w:tcBorders>
              <w:bottom w:val="single" w:sz="4" w:space="0" w:color="auto"/>
            </w:tcBorders>
          </w:tcPr>
          <w:p w14:paraId="6D6AB628" w14:textId="19EE3EF5" w:rsidR="000C7D27" w:rsidRPr="00B00EED" w:rsidRDefault="000C7D27" w:rsidP="00284783">
            <w:pPr>
              <w:pStyle w:val="Tabletext"/>
              <w:jc w:val="center"/>
            </w:pPr>
            <w:r w:rsidRPr="00B00EED">
              <w:t>25</w:t>
            </w:r>
            <w:r w:rsidR="00233F5A">
              <w:rPr>
                <w:rFonts w:cs="Arial"/>
              </w:rPr>
              <w:t>−</w:t>
            </w:r>
            <w:r w:rsidRPr="00B00EED">
              <w:t>44 years</w:t>
            </w:r>
          </w:p>
        </w:tc>
      </w:tr>
      <w:tr w:rsidR="000C7D27" w:rsidRPr="00B00EED" w14:paraId="58A63A1E" w14:textId="77777777" w:rsidTr="00955353">
        <w:tc>
          <w:tcPr>
            <w:tcW w:w="567" w:type="dxa"/>
            <w:tcBorders>
              <w:top w:val="single" w:sz="4" w:space="0" w:color="auto"/>
            </w:tcBorders>
          </w:tcPr>
          <w:p w14:paraId="3D9C8D76" w14:textId="77777777" w:rsidR="000C7D27" w:rsidRPr="00B00EED" w:rsidRDefault="000C7D27" w:rsidP="00782717">
            <w:pPr>
              <w:pStyle w:val="Tabletext"/>
            </w:pPr>
            <w:r w:rsidRPr="00B00EED">
              <w:t>2006</w:t>
            </w:r>
          </w:p>
        </w:tc>
        <w:tc>
          <w:tcPr>
            <w:tcW w:w="1134" w:type="dxa"/>
            <w:gridSpan w:val="2"/>
            <w:tcBorders>
              <w:top w:val="single" w:sz="4" w:space="0" w:color="auto"/>
            </w:tcBorders>
          </w:tcPr>
          <w:p w14:paraId="39EBBD70" w14:textId="77777777" w:rsidR="000C7D27" w:rsidRPr="00B00EED" w:rsidRDefault="000C7D27" w:rsidP="00284783">
            <w:pPr>
              <w:pStyle w:val="Tabletext"/>
              <w:ind w:right="113"/>
              <w:jc w:val="right"/>
            </w:pPr>
            <w:r w:rsidRPr="00B00EED">
              <w:t>9.99</w:t>
            </w:r>
          </w:p>
        </w:tc>
        <w:tc>
          <w:tcPr>
            <w:tcW w:w="1418" w:type="dxa"/>
            <w:gridSpan w:val="2"/>
            <w:tcBorders>
              <w:top w:val="single" w:sz="4" w:space="0" w:color="auto"/>
            </w:tcBorders>
          </w:tcPr>
          <w:p w14:paraId="23CF35CD" w14:textId="77777777" w:rsidR="000C7D27" w:rsidRPr="00B00EED" w:rsidRDefault="000C7D27" w:rsidP="00284783">
            <w:pPr>
              <w:pStyle w:val="Tabletext"/>
              <w:ind w:right="227"/>
              <w:jc w:val="right"/>
            </w:pPr>
            <w:r w:rsidRPr="00B00EED">
              <w:t>4.77</w:t>
            </w:r>
          </w:p>
        </w:tc>
        <w:tc>
          <w:tcPr>
            <w:tcW w:w="1559" w:type="dxa"/>
            <w:gridSpan w:val="2"/>
            <w:tcBorders>
              <w:top w:val="single" w:sz="4" w:space="0" w:color="auto"/>
            </w:tcBorders>
          </w:tcPr>
          <w:p w14:paraId="5F4FB138" w14:textId="77777777" w:rsidR="000C7D27" w:rsidRPr="00B00EED" w:rsidRDefault="000C7D27" w:rsidP="00284783">
            <w:pPr>
              <w:pStyle w:val="Tabletext"/>
              <w:ind w:right="227"/>
              <w:jc w:val="right"/>
            </w:pPr>
            <w:r w:rsidRPr="00B00EED">
              <w:t>109.57</w:t>
            </w:r>
          </w:p>
        </w:tc>
        <w:tc>
          <w:tcPr>
            <w:tcW w:w="992" w:type="dxa"/>
            <w:tcBorders>
              <w:top w:val="single" w:sz="4" w:space="0" w:color="auto"/>
            </w:tcBorders>
          </w:tcPr>
          <w:p w14:paraId="0F4E9095" w14:textId="77777777" w:rsidR="000C7D27" w:rsidRPr="00B00EED" w:rsidRDefault="000C7D27" w:rsidP="00284783">
            <w:pPr>
              <w:pStyle w:val="Tabletext"/>
              <w:ind w:right="227"/>
              <w:jc w:val="right"/>
            </w:pPr>
            <w:r w:rsidRPr="00B00EED">
              <w:t>46.32</w:t>
            </w:r>
          </w:p>
        </w:tc>
        <w:tc>
          <w:tcPr>
            <w:tcW w:w="1134" w:type="dxa"/>
            <w:tcBorders>
              <w:top w:val="single" w:sz="4" w:space="0" w:color="auto"/>
            </w:tcBorders>
          </w:tcPr>
          <w:p w14:paraId="540D526F" w14:textId="77777777" w:rsidR="000C7D27" w:rsidRPr="00B00EED" w:rsidRDefault="000C7D27" w:rsidP="00284783">
            <w:pPr>
              <w:pStyle w:val="Tabletext"/>
              <w:ind w:right="227"/>
              <w:jc w:val="right"/>
            </w:pPr>
            <w:r w:rsidRPr="00B00EED">
              <w:t>155.88</w:t>
            </w:r>
          </w:p>
        </w:tc>
        <w:tc>
          <w:tcPr>
            <w:tcW w:w="993" w:type="dxa"/>
            <w:tcBorders>
              <w:top w:val="single" w:sz="4" w:space="0" w:color="auto"/>
            </w:tcBorders>
          </w:tcPr>
          <w:p w14:paraId="1E204FE8" w14:textId="77777777" w:rsidR="000C7D27" w:rsidRPr="00B00EED" w:rsidRDefault="000C7D27" w:rsidP="00284783">
            <w:pPr>
              <w:pStyle w:val="Tabletext"/>
              <w:ind w:right="227"/>
              <w:jc w:val="right"/>
            </w:pPr>
            <w:r w:rsidRPr="00B00EED">
              <w:t>78.15</w:t>
            </w:r>
          </w:p>
        </w:tc>
      </w:tr>
      <w:tr w:rsidR="000C7D27" w:rsidRPr="00B00EED" w14:paraId="5141E2CD" w14:textId="77777777" w:rsidTr="00955353">
        <w:tc>
          <w:tcPr>
            <w:tcW w:w="567" w:type="dxa"/>
          </w:tcPr>
          <w:p w14:paraId="7C106BA2" w14:textId="77777777" w:rsidR="000C7D27" w:rsidRPr="00B00EED" w:rsidRDefault="000C7D27" w:rsidP="00782717">
            <w:pPr>
              <w:pStyle w:val="Tabletext"/>
            </w:pPr>
            <w:r w:rsidRPr="00B00EED">
              <w:t>2007</w:t>
            </w:r>
          </w:p>
        </w:tc>
        <w:tc>
          <w:tcPr>
            <w:tcW w:w="1134" w:type="dxa"/>
            <w:gridSpan w:val="2"/>
          </w:tcPr>
          <w:p w14:paraId="1CFE24C8" w14:textId="77777777" w:rsidR="000C7D27" w:rsidRPr="00B00EED" w:rsidRDefault="000C7D27" w:rsidP="00284783">
            <w:pPr>
              <w:pStyle w:val="Tabletext"/>
              <w:ind w:right="113"/>
              <w:jc w:val="right"/>
            </w:pPr>
            <w:r w:rsidRPr="00B00EED">
              <w:t>9.30</w:t>
            </w:r>
          </w:p>
        </w:tc>
        <w:tc>
          <w:tcPr>
            <w:tcW w:w="1418" w:type="dxa"/>
            <w:gridSpan w:val="2"/>
          </w:tcPr>
          <w:p w14:paraId="5CD5DB1B" w14:textId="77777777" w:rsidR="000C7D27" w:rsidRPr="00B00EED" w:rsidRDefault="000C7D27" w:rsidP="00284783">
            <w:pPr>
              <w:pStyle w:val="Tabletext"/>
              <w:ind w:right="227"/>
              <w:jc w:val="right"/>
            </w:pPr>
            <w:r w:rsidRPr="00B00EED">
              <w:t>4.35</w:t>
            </w:r>
          </w:p>
        </w:tc>
        <w:tc>
          <w:tcPr>
            <w:tcW w:w="1559" w:type="dxa"/>
            <w:gridSpan w:val="2"/>
          </w:tcPr>
          <w:p w14:paraId="13437B78" w14:textId="77777777" w:rsidR="000C7D27" w:rsidRPr="00B00EED" w:rsidRDefault="000C7D27" w:rsidP="00284783">
            <w:pPr>
              <w:pStyle w:val="Tabletext"/>
              <w:ind w:right="227"/>
              <w:jc w:val="right"/>
            </w:pPr>
            <w:r w:rsidRPr="00B00EED">
              <w:t>114.53</w:t>
            </w:r>
          </w:p>
        </w:tc>
        <w:tc>
          <w:tcPr>
            <w:tcW w:w="992" w:type="dxa"/>
          </w:tcPr>
          <w:p w14:paraId="1EE46A36" w14:textId="77777777" w:rsidR="000C7D27" w:rsidRPr="00B00EED" w:rsidRDefault="000C7D27" w:rsidP="00284783">
            <w:pPr>
              <w:pStyle w:val="Tabletext"/>
              <w:ind w:right="227"/>
              <w:jc w:val="right"/>
            </w:pPr>
            <w:r w:rsidRPr="00B00EED">
              <w:t>48.22</w:t>
            </w:r>
          </w:p>
        </w:tc>
        <w:tc>
          <w:tcPr>
            <w:tcW w:w="1134" w:type="dxa"/>
          </w:tcPr>
          <w:p w14:paraId="3BCB5543" w14:textId="77777777" w:rsidR="000C7D27" w:rsidRPr="00B00EED" w:rsidRDefault="000C7D27" w:rsidP="00284783">
            <w:pPr>
              <w:pStyle w:val="Tabletext"/>
              <w:ind w:right="227"/>
              <w:jc w:val="right"/>
            </w:pPr>
            <w:r w:rsidRPr="00B00EED">
              <w:t>162.75</w:t>
            </w:r>
          </w:p>
        </w:tc>
        <w:tc>
          <w:tcPr>
            <w:tcW w:w="993" w:type="dxa"/>
          </w:tcPr>
          <w:p w14:paraId="0292B54C" w14:textId="77777777" w:rsidR="000C7D27" w:rsidRPr="00B00EED" w:rsidRDefault="000C7D27" w:rsidP="00284783">
            <w:pPr>
              <w:pStyle w:val="Tabletext"/>
              <w:ind w:right="227"/>
              <w:jc w:val="right"/>
            </w:pPr>
            <w:r w:rsidRPr="00B00EED">
              <w:t>80.39</w:t>
            </w:r>
          </w:p>
        </w:tc>
      </w:tr>
      <w:tr w:rsidR="000C7D27" w:rsidRPr="00B00EED" w14:paraId="2374B582" w14:textId="77777777" w:rsidTr="00955353">
        <w:tc>
          <w:tcPr>
            <w:tcW w:w="567" w:type="dxa"/>
          </w:tcPr>
          <w:p w14:paraId="67A6A32C" w14:textId="77777777" w:rsidR="000C7D27" w:rsidRPr="00B00EED" w:rsidRDefault="000C7D27" w:rsidP="00782717">
            <w:pPr>
              <w:pStyle w:val="Tabletext"/>
            </w:pPr>
            <w:r w:rsidRPr="00B00EED">
              <w:t>2008</w:t>
            </w:r>
          </w:p>
        </w:tc>
        <w:tc>
          <w:tcPr>
            <w:tcW w:w="1134" w:type="dxa"/>
            <w:gridSpan w:val="2"/>
          </w:tcPr>
          <w:p w14:paraId="7ECEB183" w14:textId="77777777" w:rsidR="000C7D27" w:rsidRPr="00B00EED" w:rsidRDefault="000C7D27" w:rsidP="00284783">
            <w:pPr>
              <w:pStyle w:val="Tabletext"/>
              <w:ind w:right="113"/>
              <w:jc w:val="right"/>
            </w:pPr>
            <w:r w:rsidRPr="00B00EED">
              <w:t>8.95</w:t>
            </w:r>
          </w:p>
        </w:tc>
        <w:tc>
          <w:tcPr>
            <w:tcW w:w="1418" w:type="dxa"/>
            <w:gridSpan w:val="2"/>
          </w:tcPr>
          <w:p w14:paraId="5A7CE952" w14:textId="77777777" w:rsidR="000C7D27" w:rsidRPr="00B00EED" w:rsidRDefault="000C7D27" w:rsidP="00284783">
            <w:pPr>
              <w:pStyle w:val="Tabletext"/>
              <w:ind w:right="227"/>
              <w:jc w:val="right"/>
            </w:pPr>
            <w:r w:rsidRPr="00B00EED">
              <w:t>4.26</w:t>
            </w:r>
          </w:p>
        </w:tc>
        <w:tc>
          <w:tcPr>
            <w:tcW w:w="1559" w:type="dxa"/>
            <w:gridSpan w:val="2"/>
          </w:tcPr>
          <w:p w14:paraId="050FDD03" w14:textId="77777777" w:rsidR="000C7D27" w:rsidRPr="00B00EED" w:rsidRDefault="000C7D27" w:rsidP="00284783">
            <w:pPr>
              <w:pStyle w:val="Tabletext"/>
              <w:ind w:right="227"/>
              <w:jc w:val="right"/>
            </w:pPr>
            <w:r w:rsidRPr="00B00EED">
              <w:t>117.38</w:t>
            </w:r>
          </w:p>
        </w:tc>
        <w:tc>
          <w:tcPr>
            <w:tcW w:w="992" w:type="dxa"/>
          </w:tcPr>
          <w:p w14:paraId="4C9E76FC" w14:textId="77777777" w:rsidR="000C7D27" w:rsidRPr="00B00EED" w:rsidRDefault="000C7D27" w:rsidP="00284783">
            <w:pPr>
              <w:pStyle w:val="Tabletext"/>
              <w:ind w:right="227"/>
              <w:jc w:val="right"/>
            </w:pPr>
            <w:r w:rsidRPr="00B00EED">
              <w:t>48.61</w:t>
            </w:r>
          </w:p>
        </w:tc>
        <w:tc>
          <w:tcPr>
            <w:tcW w:w="1134" w:type="dxa"/>
          </w:tcPr>
          <w:p w14:paraId="7647728B" w14:textId="77777777" w:rsidR="000C7D27" w:rsidRPr="00B00EED" w:rsidRDefault="000C7D27" w:rsidP="00284783">
            <w:pPr>
              <w:pStyle w:val="Tabletext"/>
              <w:ind w:right="227"/>
              <w:jc w:val="right"/>
            </w:pPr>
            <w:r w:rsidRPr="00B00EED">
              <w:t>166.00</w:t>
            </w:r>
          </w:p>
        </w:tc>
        <w:tc>
          <w:tcPr>
            <w:tcW w:w="993" w:type="dxa"/>
          </w:tcPr>
          <w:p w14:paraId="2E0225E6" w14:textId="77777777" w:rsidR="000C7D27" w:rsidRPr="00B00EED" w:rsidRDefault="000C7D27" w:rsidP="00284783">
            <w:pPr>
              <w:pStyle w:val="Tabletext"/>
              <w:ind w:right="227"/>
              <w:jc w:val="right"/>
            </w:pPr>
            <w:r w:rsidRPr="00B00EED">
              <w:t>86.12</w:t>
            </w:r>
          </w:p>
        </w:tc>
      </w:tr>
      <w:tr w:rsidR="000C7D27" w:rsidRPr="00B00EED" w14:paraId="337D28EC" w14:textId="77777777" w:rsidTr="00955353">
        <w:tc>
          <w:tcPr>
            <w:tcW w:w="567" w:type="dxa"/>
          </w:tcPr>
          <w:p w14:paraId="4F64049B" w14:textId="77777777" w:rsidR="000C7D27" w:rsidRPr="00B00EED" w:rsidRDefault="000C7D27" w:rsidP="00782717">
            <w:pPr>
              <w:pStyle w:val="Tabletext"/>
            </w:pPr>
            <w:r w:rsidRPr="00B00EED">
              <w:t>2009</w:t>
            </w:r>
          </w:p>
        </w:tc>
        <w:tc>
          <w:tcPr>
            <w:tcW w:w="1134" w:type="dxa"/>
            <w:gridSpan w:val="2"/>
          </w:tcPr>
          <w:p w14:paraId="4B1199FB" w14:textId="77777777" w:rsidR="000C7D27" w:rsidRPr="00B00EED" w:rsidRDefault="000C7D27" w:rsidP="00284783">
            <w:pPr>
              <w:pStyle w:val="Tabletext"/>
              <w:ind w:right="113"/>
              <w:jc w:val="right"/>
            </w:pPr>
            <w:r w:rsidRPr="00B00EED">
              <w:t>11.45</w:t>
            </w:r>
          </w:p>
        </w:tc>
        <w:tc>
          <w:tcPr>
            <w:tcW w:w="1418" w:type="dxa"/>
            <w:gridSpan w:val="2"/>
          </w:tcPr>
          <w:p w14:paraId="7D4D0CB2" w14:textId="77777777" w:rsidR="000C7D27" w:rsidRPr="00B00EED" w:rsidRDefault="000C7D27" w:rsidP="00284783">
            <w:pPr>
              <w:pStyle w:val="Tabletext"/>
              <w:ind w:right="227"/>
              <w:jc w:val="right"/>
            </w:pPr>
            <w:r w:rsidRPr="00B00EED">
              <w:t>5.54</w:t>
            </w:r>
          </w:p>
        </w:tc>
        <w:tc>
          <w:tcPr>
            <w:tcW w:w="1559" w:type="dxa"/>
            <w:gridSpan w:val="2"/>
          </w:tcPr>
          <w:p w14:paraId="0FECF2B1" w14:textId="77777777" w:rsidR="000C7D27" w:rsidRPr="00B00EED" w:rsidRDefault="000C7D27" w:rsidP="00284783">
            <w:pPr>
              <w:pStyle w:val="Tabletext"/>
              <w:ind w:right="227"/>
              <w:jc w:val="right"/>
            </w:pPr>
            <w:r w:rsidRPr="00B00EED">
              <w:t>101.12</w:t>
            </w:r>
          </w:p>
        </w:tc>
        <w:tc>
          <w:tcPr>
            <w:tcW w:w="992" w:type="dxa"/>
          </w:tcPr>
          <w:p w14:paraId="102724AE" w14:textId="77777777" w:rsidR="000C7D27" w:rsidRPr="00B00EED" w:rsidRDefault="000C7D27" w:rsidP="00284783">
            <w:pPr>
              <w:pStyle w:val="Tabletext"/>
              <w:ind w:right="227"/>
              <w:jc w:val="right"/>
            </w:pPr>
            <w:r w:rsidRPr="00B00EED">
              <w:t>45.59</w:t>
            </w:r>
          </w:p>
        </w:tc>
        <w:tc>
          <w:tcPr>
            <w:tcW w:w="1134" w:type="dxa"/>
          </w:tcPr>
          <w:p w14:paraId="48B6D96A" w14:textId="77777777" w:rsidR="000C7D27" w:rsidRPr="00B00EED" w:rsidRDefault="000C7D27" w:rsidP="00284783">
            <w:pPr>
              <w:pStyle w:val="Tabletext"/>
              <w:ind w:right="227"/>
              <w:jc w:val="right"/>
            </w:pPr>
            <w:r w:rsidRPr="00B00EED">
              <w:t>146.71</w:t>
            </w:r>
          </w:p>
        </w:tc>
        <w:tc>
          <w:tcPr>
            <w:tcW w:w="993" w:type="dxa"/>
          </w:tcPr>
          <w:p w14:paraId="29BF85CF" w14:textId="77777777" w:rsidR="000C7D27" w:rsidRPr="00B00EED" w:rsidRDefault="000C7D27" w:rsidP="00284783">
            <w:pPr>
              <w:pStyle w:val="Tabletext"/>
              <w:ind w:right="227"/>
              <w:jc w:val="right"/>
            </w:pPr>
            <w:r w:rsidRPr="00B00EED">
              <w:t>85.82</w:t>
            </w:r>
          </w:p>
        </w:tc>
      </w:tr>
      <w:tr w:rsidR="000C7D27" w:rsidRPr="00B00EED" w14:paraId="4F4F23EB" w14:textId="77777777" w:rsidTr="00955353">
        <w:tc>
          <w:tcPr>
            <w:tcW w:w="567" w:type="dxa"/>
          </w:tcPr>
          <w:p w14:paraId="6397AD97" w14:textId="77777777" w:rsidR="000C7D27" w:rsidRPr="00B00EED" w:rsidRDefault="000C7D27" w:rsidP="00782717">
            <w:pPr>
              <w:pStyle w:val="Tabletext"/>
            </w:pPr>
            <w:r w:rsidRPr="00B00EED">
              <w:t>2010</w:t>
            </w:r>
          </w:p>
        </w:tc>
        <w:tc>
          <w:tcPr>
            <w:tcW w:w="1134" w:type="dxa"/>
            <w:gridSpan w:val="2"/>
          </w:tcPr>
          <w:p w14:paraId="4CEB5B1D" w14:textId="77777777" w:rsidR="000C7D27" w:rsidRPr="00B00EED" w:rsidRDefault="000C7D27" w:rsidP="00284783">
            <w:pPr>
              <w:pStyle w:val="Tabletext"/>
              <w:ind w:right="113"/>
              <w:jc w:val="right"/>
            </w:pPr>
            <w:r w:rsidRPr="00B00EED">
              <w:t>11.55</w:t>
            </w:r>
          </w:p>
        </w:tc>
        <w:tc>
          <w:tcPr>
            <w:tcW w:w="1418" w:type="dxa"/>
            <w:gridSpan w:val="2"/>
          </w:tcPr>
          <w:p w14:paraId="7C133888" w14:textId="77777777" w:rsidR="000C7D27" w:rsidRPr="00B00EED" w:rsidRDefault="000C7D27" w:rsidP="00284783">
            <w:pPr>
              <w:pStyle w:val="Tabletext"/>
              <w:ind w:right="227"/>
              <w:jc w:val="right"/>
            </w:pPr>
            <w:r w:rsidRPr="00B00EED">
              <w:t>5.21</w:t>
            </w:r>
          </w:p>
        </w:tc>
        <w:tc>
          <w:tcPr>
            <w:tcW w:w="1559" w:type="dxa"/>
            <w:gridSpan w:val="2"/>
          </w:tcPr>
          <w:p w14:paraId="086CA0D0" w14:textId="77777777" w:rsidR="000C7D27" w:rsidRPr="00B00EED" w:rsidRDefault="000C7D27" w:rsidP="00284783">
            <w:pPr>
              <w:pStyle w:val="Tabletext"/>
              <w:ind w:right="227"/>
              <w:jc w:val="right"/>
            </w:pPr>
            <w:r w:rsidRPr="00B00EED">
              <w:t>115.80</w:t>
            </w:r>
          </w:p>
        </w:tc>
        <w:tc>
          <w:tcPr>
            <w:tcW w:w="992" w:type="dxa"/>
          </w:tcPr>
          <w:p w14:paraId="4A61F226" w14:textId="77777777" w:rsidR="000C7D27" w:rsidRPr="00B00EED" w:rsidRDefault="000C7D27" w:rsidP="00284783">
            <w:pPr>
              <w:pStyle w:val="Tabletext"/>
              <w:ind w:right="227"/>
              <w:jc w:val="right"/>
            </w:pPr>
            <w:r w:rsidRPr="00B00EED">
              <w:t>54.38</w:t>
            </w:r>
          </w:p>
        </w:tc>
        <w:tc>
          <w:tcPr>
            <w:tcW w:w="1134" w:type="dxa"/>
          </w:tcPr>
          <w:p w14:paraId="2A938A8D" w14:textId="77777777" w:rsidR="000C7D27" w:rsidRPr="00B00EED" w:rsidRDefault="000C7D27" w:rsidP="00284783">
            <w:pPr>
              <w:pStyle w:val="Tabletext"/>
              <w:ind w:right="227"/>
              <w:jc w:val="right"/>
            </w:pPr>
            <w:r w:rsidRPr="00B00EED">
              <w:t>170.19</w:t>
            </w:r>
          </w:p>
        </w:tc>
        <w:tc>
          <w:tcPr>
            <w:tcW w:w="993" w:type="dxa"/>
          </w:tcPr>
          <w:p w14:paraId="79370887" w14:textId="77777777" w:rsidR="000C7D27" w:rsidRPr="00B00EED" w:rsidRDefault="000C7D27" w:rsidP="00284783">
            <w:pPr>
              <w:pStyle w:val="Tabletext"/>
              <w:ind w:right="227"/>
              <w:jc w:val="right"/>
            </w:pPr>
            <w:r w:rsidRPr="00B00EED">
              <w:t>100.19</w:t>
            </w:r>
          </w:p>
        </w:tc>
      </w:tr>
      <w:tr w:rsidR="000C7D27" w:rsidRPr="00B00EED" w14:paraId="585902BE" w14:textId="77777777" w:rsidTr="00955353">
        <w:tc>
          <w:tcPr>
            <w:tcW w:w="567" w:type="dxa"/>
          </w:tcPr>
          <w:p w14:paraId="2A21D865" w14:textId="77777777" w:rsidR="000C7D27" w:rsidRPr="00B00EED" w:rsidRDefault="000C7D27" w:rsidP="00782717">
            <w:pPr>
              <w:pStyle w:val="Tabletext"/>
            </w:pPr>
            <w:r w:rsidRPr="00B00EED">
              <w:t>2011</w:t>
            </w:r>
          </w:p>
        </w:tc>
        <w:tc>
          <w:tcPr>
            <w:tcW w:w="1134" w:type="dxa"/>
            <w:gridSpan w:val="2"/>
          </w:tcPr>
          <w:p w14:paraId="6F77755A" w14:textId="77777777" w:rsidR="000C7D27" w:rsidRPr="00B00EED" w:rsidRDefault="000C7D27" w:rsidP="00284783">
            <w:pPr>
              <w:pStyle w:val="Tabletext"/>
              <w:ind w:right="113"/>
              <w:jc w:val="right"/>
            </w:pPr>
            <w:r w:rsidRPr="00B00EED">
              <w:t>11.29</w:t>
            </w:r>
          </w:p>
        </w:tc>
        <w:tc>
          <w:tcPr>
            <w:tcW w:w="1418" w:type="dxa"/>
            <w:gridSpan w:val="2"/>
          </w:tcPr>
          <w:p w14:paraId="54DDF5A8" w14:textId="77777777" w:rsidR="000C7D27" w:rsidRPr="00B00EED" w:rsidRDefault="000C7D27" w:rsidP="00284783">
            <w:pPr>
              <w:pStyle w:val="Tabletext"/>
              <w:ind w:right="227"/>
              <w:jc w:val="right"/>
            </w:pPr>
            <w:r w:rsidRPr="00B00EED">
              <w:t>5.07</w:t>
            </w:r>
          </w:p>
        </w:tc>
        <w:tc>
          <w:tcPr>
            <w:tcW w:w="1559" w:type="dxa"/>
            <w:gridSpan w:val="2"/>
          </w:tcPr>
          <w:p w14:paraId="62260087" w14:textId="77777777" w:rsidR="000C7D27" w:rsidRPr="00B00EED" w:rsidRDefault="000C7D27" w:rsidP="00284783">
            <w:pPr>
              <w:pStyle w:val="Tabletext"/>
              <w:ind w:right="227"/>
              <w:jc w:val="right"/>
            </w:pPr>
            <w:r w:rsidRPr="00B00EED">
              <w:t>111.55</w:t>
            </w:r>
          </w:p>
        </w:tc>
        <w:tc>
          <w:tcPr>
            <w:tcW w:w="992" w:type="dxa"/>
          </w:tcPr>
          <w:p w14:paraId="66EF145B" w14:textId="77777777" w:rsidR="000C7D27" w:rsidRPr="00B00EED" w:rsidRDefault="000C7D27" w:rsidP="00284783">
            <w:pPr>
              <w:pStyle w:val="Tabletext"/>
              <w:ind w:right="227"/>
              <w:jc w:val="right"/>
            </w:pPr>
            <w:r w:rsidRPr="00B00EED">
              <w:t>56.62</w:t>
            </w:r>
          </w:p>
        </w:tc>
        <w:tc>
          <w:tcPr>
            <w:tcW w:w="1134" w:type="dxa"/>
          </w:tcPr>
          <w:p w14:paraId="7CECD4AD" w14:textId="77777777" w:rsidR="000C7D27" w:rsidRPr="00B00EED" w:rsidRDefault="000C7D27" w:rsidP="00284783">
            <w:pPr>
              <w:pStyle w:val="Tabletext"/>
              <w:ind w:right="227"/>
              <w:jc w:val="right"/>
            </w:pPr>
            <w:r w:rsidRPr="00B00EED">
              <w:t>168.17</w:t>
            </w:r>
          </w:p>
        </w:tc>
        <w:tc>
          <w:tcPr>
            <w:tcW w:w="993" w:type="dxa"/>
          </w:tcPr>
          <w:p w14:paraId="24A7E716" w14:textId="77777777" w:rsidR="000C7D27" w:rsidRPr="00B00EED" w:rsidRDefault="000C7D27" w:rsidP="00284783">
            <w:pPr>
              <w:pStyle w:val="Tabletext"/>
              <w:ind w:right="227"/>
              <w:jc w:val="right"/>
            </w:pPr>
            <w:r w:rsidRPr="00B00EED">
              <w:t>105.71</w:t>
            </w:r>
          </w:p>
        </w:tc>
      </w:tr>
      <w:tr w:rsidR="000C7D27" w:rsidRPr="00B00EED" w14:paraId="65193042" w14:textId="77777777" w:rsidTr="00955353">
        <w:tc>
          <w:tcPr>
            <w:tcW w:w="567" w:type="dxa"/>
          </w:tcPr>
          <w:p w14:paraId="69CB255D" w14:textId="77777777" w:rsidR="000C7D27" w:rsidRPr="00B00EED" w:rsidRDefault="000C7D27" w:rsidP="00782717">
            <w:pPr>
              <w:pStyle w:val="Tabletext"/>
            </w:pPr>
            <w:r w:rsidRPr="00B00EED">
              <w:t>2012</w:t>
            </w:r>
          </w:p>
        </w:tc>
        <w:tc>
          <w:tcPr>
            <w:tcW w:w="1134" w:type="dxa"/>
            <w:gridSpan w:val="2"/>
          </w:tcPr>
          <w:p w14:paraId="316541AB" w14:textId="77777777" w:rsidR="000C7D27" w:rsidRPr="00B00EED" w:rsidRDefault="000C7D27" w:rsidP="00284783">
            <w:pPr>
              <w:pStyle w:val="Tabletext"/>
              <w:ind w:right="113"/>
              <w:jc w:val="right"/>
            </w:pPr>
            <w:r w:rsidRPr="00B00EED">
              <w:t>11.72</w:t>
            </w:r>
          </w:p>
        </w:tc>
        <w:tc>
          <w:tcPr>
            <w:tcW w:w="1418" w:type="dxa"/>
            <w:gridSpan w:val="2"/>
          </w:tcPr>
          <w:p w14:paraId="149511A5" w14:textId="77777777" w:rsidR="000C7D27" w:rsidRPr="00B00EED" w:rsidRDefault="000C7D27" w:rsidP="00284783">
            <w:pPr>
              <w:pStyle w:val="Tabletext"/>
              <w:ind w:right="227"/>
              <w:jc w:val="right"/>
            </w:pPr>
            <w:r w:rsidRPr="00B00EED">
              <w:t>5.22</w:t>
            </w:r>
          </w:p>
        </w:tc>
        <w:tc>
          <w:tcPr>
            <w:tcW w:w="1559" w:type="dxa"/>
            <w:gridSpan w:val="2"/>
          </w:tcPr>
          <w:p w14:paraId="35D29639" w14:textId="77777777" w:rsidR="000C7D27" w:rsidRPr="00B00EED" w:rsidRDefault="000C7D27" w:rsidP="00284783">
            <w:pPr>
              <w:pStyle w:val="Tabletext"/>
              <w:ind w:right="227"/>
              <w:jc w:val="right"/>
            </w:pPr>
            <w:r w:rsidRPr="00B00EED">
              <w:t>107.28</w:t>
            </w:r>
          </w:p>
        </w:tc>
        <w:tc>
          <w:tcPr>
            <w:tcW w:w="992" w:type="dxa"/>
          </w:tcPr>
          <w:p w14:paraId="6AD9D3C8" w14:textId="77777777" w:rsidR="000C7D27" w:rsidRPr="00B00EED" w:rsidRDefault="000C7D27" w:rsidP="00284783">
            <w:pPr>
              <w:pStyle w:val="Tabletext"/>
              <w:ind w:right="227"/>
              <w:jc w:val="right"/>
            </w:pPr>
            <w:r w:rsidRPr="00B00EED">
              <w:t>57.07</w:t>
            </w:r>
          </w:p>
        </w:tc>
        <w:tc>
          <w:tcPr>
            <w:tcW w:w="1134" w:type="dxa"/>
          </w:tcPr>
          <w:p w14:paraId="419EA002" w14:textId="77777777" w:rsidR="000C7D27" w:rsidRPr="00B00EED" w:rsidRDefault="000C7D27" w:rsidP="00284783">
            <w:pPr>
              <w:pStyle w:val="Tabletext"/>
              <w:ind w:right="227"/>
              <w:jc w:val="right"/>
            </w:pPr>
            <w:r w:rsidRPr="00B00EED">
              <w:t>164.35</w:t>
            </w:r>
          </w:p>
        </w:tc>
        <w:tc>
          <w:tcPr>
            <w:tcW w:w="993" w:type="dxa"/>
          </w:tcPr>
          <w:p w14:paraId="7D6D4C68" w14:textId="77777777" w:rsidR="000C7D27" w:rsidRPr="00B00EED" w:rsidRDefault="000C7D27" w:rsidP="00284783">
            <w:pPr>
              <w:pStyle w:val="Tabletext"/>
              <w:ind w:right="227"/>
              <w:jc w:val="right"/>
            </w:pPr>
            <w:r w:rsidRPr="00B00EED">
              <w:t>114.21</w:t>
            </w:r>
          </w:p>
        </w:tc>
      </w:tr>
      <w:tr w:rsidR="000C7D27" w:rsidRPr="00B00EED" w14:paraId="79532E8E" w14:textId="77777777" w:rsidTr="00955353">
        <w:tc>
          <w:tcPr>
            <w:tcW w:w="567" w:type="dxa"/>
          </w:tcPr>
          <w:p w14:paraId="125D4532" w14:textId="77777777" w:rsidR="000C7D27" w:rsidRPr="00B00EED" w:rsidRDefault="000C7D27" w:rsidP="00782717">
            <w:pPr>
              <w:pStyle w:val="Tabletext"/>
            </w:pPr>
            <w:r w:rsidRPr="00B00EED">
              <w:t>2013</w:t>
            </w:r>
          </w:p>
        </w:tc>
        <w:tc>
          <w:tcPr>
            <w:tcW w:w="1134" w:type="dxa"/>
            <w:gridSpan w:val="2"/>
          </w:tcPr>
          <w:p w14:paraId="1F345440" w14:textId="77777777" w:rsidR="000C7D27" w:rsidRPr="00B00EED" w:rsidRDefault="000C7D27" w:rsidP="00284783">
            <w:pPr>
              <w:pStyle w:val="Tabletext"/>
              <w:ind w:right="113"/>
              <w:jc w:val="right"/>
            </w:pPr>
            <w:r w:rsidRPr="00B00EED">
              <w:t>12.16</w:t>
            </w:r>
          </w:p>
        </w:tc>
        <w:tc>
          <w:tcPr>
            <w:tcW w:w="1418" w:type="dxa"/>
            <w:gridSpan w:val="2"/>
          </w:tcPr>
          <w:p w14:paraId="3590E0DC" w14:textId="77777777" w:rsidR="000C7D27" w:rsidRPr="00B00EED" w:rsidRDefault="000C7D27" w:rsidP="00284783">
            <w:pPr>
              <w:pStyle w:val="Tabletext"/>
              <w:ind w:right="227"/>
              <w:jc w:val="right"/>
            </w:pPr>
            <w:r w:rsidRPr="00B00EED">
              <w:t>5.66</w:t>
            </w:r>
          </w:p>
        </w:tc>
        <w:tc>
          <w:tcPr>
            <w:tcW w:w="1559" w:type="dxa"/>
            <w:gridSpan w:val="2"/>
          </w:tcPr>
          <w:p w14:paraId="120F27F3" w14:textId="77777777" w:rsidR="000C7D27" w:rsidRPr="00B00EED" w:rsidRDefault="000C7D27" w:rsidP="00284783">
            <w:pPr>
              <w:pStyle w:val="Tabletext"/>
              <w:ind w:right="227"/>
              <w:jc w:val="right"/>
            </w:pPr>
            <w:r w:rsidRPr="00B00EED">
              <w:t>85.49</w:t>
            </w:r>
          </w:p>
        </w:tc>
        <w:tc>
          <w:tcPr>
            <w:tcW w:w="992" w:type="dxa"/>
          </w:tcPr>
          <w:p w14:paraId="6A7C4873" w14:textId="77777777" w:rsidR="000C7D27" w:rsidRPr="00B00EED" w:rsidRDefault="000C7D27" w:rsidP="00284783">
            <w:pPr>
              <w:pStyle w:val="Tabletext"/>
              <w:ind w:right="227"/>
              <w:jc w:val="right"/>
            </w:pPr>
            <w:r w:rsidRPr="00B00EED">
              <w:t>45.05</w:t>
            </w:r>
          </w:p>
        </w:tc>
        <w:tc>
          <w:tcPr>
            <w:tcW w:w="1134" w:type="dxa"/>
          </w:tcPr>
          <w:p w14:paraId="3CF4664E" w14:textId="77777777" w:rsidR="000C7D27" w:rsidRPr="00B00EED" w:rsidRDefault="000C7D27" w:rsidP="00284783">
            <w:pPr>
              <w:pStyle w:val="Tabletext"/>
              <w:ind w:right="227"/>
              <w:jc w:val="right"/>
            </w:pPr>
            <w:r w:rsidRPr="00B00EED">
              <w:t>130.54</w:t>
            </w:r>
          </w:p>
        </w:tc>
        <w:tc>
          <w:tcPr>
            <w:tcW w:w="993" w:type="dxa"/>
          </w:tcPr>
          <w:p w14:paraId="070581DA" w14:textId="77777777" w:rsidR="000C7D27" w:rsidRPr="00B00EED" w:rsidRDefault="000C7D27" w:rsidP="00284783">
            <w:pPr>
              <w:pStyle w:val="Tabletext"/>
              <w:ind w:right="227"/>
              <w:jc w:val="right"/>
            </w:pPr>
            <w:r w:rsidRPr="00B00EED">
              <w:t>81.14</w:t>
            </w:r>
          </w:p>
        </w:tc>
      </w:tr>
      <w:tr w:rsidR="000C7D27" w:rsidRPr="00B00EED" w14:paraId="5C1C1521" w14:textId="77777777" w:rsidTr="00955353">
        <w:tc>
          <w:tcPr>
            <w:tcW w:w="567" w:type="dxa"/>
          </w:tcPr>
          <w:p w14:paraId="072DFDCB" w14:textId="77777777" w:rsidR="000C7D27" w:rsidRPr="00B00EED" w:rsidRDefault="000C7D27" w:rsidP="00782717">
            <w:pPr>
              <w:pStyle w:val="Tabletext"/>
            </w:pPr>
            <w:r w:rsidRPr="00B00EED">
              <w:t>2014</w:t>
            </w:r>
          </w:p>
        </w:tc>
        <w:tc>
          <w:tcPr>
            <w:tcW w:w="1134" w:type="dxa"/>
            <w:gridSpan w:val="2"/>
          </w:tcPr>
          <w:p w14:paraId="0A6E0022" w14:textId="77777777" w:rsidR="000C7D27" w:rsidRPr="00B00EED" w:rsidRDefault="000C7D27" w:rsidP="00284783">
            <w:pPr>
              <w:pStyle w:val="Tabletext"/>
              <w:ind w:right="113"/>
              <w:jc w:val="right"/>
            </w:pPr>
            <w:r w:rsidRPr="00B00EED">
              <w:t>13.36</w:t>
            </w:r>
          </w:p>
        </w:tc>
        <w:tc>
          <w:tcPr>
            <w:tcW w:w="1418" w:type="dxa"/>
            <w:gridSpan w:val="2"/>
          </w:tcPr>
          <w:p w14:paraId="3907D259" w14:textId="77777777" w:rsidR="000C7D27" w:rsidRPr="00B00EED" w:rsidRDefault="000C7D27" w:rsidP="00284783">
            <w:pPr>
              <w:pStyle w:val="Tabletext"/>
              <w:ind w:right="227"/>
              <w:jc w:val="right"/>
            </w:pPr>
            <w:r w:rsidRPr="00B00EED">
              <w:t>6.07</w:t>
            </w:r>
          </w:p>
        </w:tc>
        <w:tc>
          <w:tcPr>
            <w:tcW w:w="1559" w:type="dxa"/>
            <w:gridSpan w:val="2"/>
          </w:tcPr>
          <w:p w14:paraId="7C1D6A6F" w14:textId="77777777" w:rsidR="000C7D27" w:rsidRPr="00B00EED" w:rsidRDefault="000C7D27" w:rsidP="00284783">
            <w:pPr>
              <w:pStyle w:val="Tabletext"/>
              <w:ind w:right="227"/>
              <w:jc w:val="right"/>
            </w:pPr>
            <w:r w:rsidRPr="00B00EED">
              <w:t>79.03</w:t>
            </w:r>
          </w:p>
        </w:tc>
        <w:tc>
          <w:tcPr>
            <w:tcW w:w="992" w:type="dxa"/>
          </w:tcPr>
          <w:p w14:paraId="0F8916D1" w14:textId="77777777" w:rsidR="000C7D27" w:rsidRPr="00B00EED" w:rsidRDefault="000C7D27" w:rsidP="00284783">
            <w:pPr>
              <w:pStyle w:val="Tabletext"/>
              <w:ind w:right="227"/>
              <w:jc w:val="right"/>
            </w:pPr>
            <w:r w:rsidRPr="00B00EED">
              <w:t>39.49</w:t>
            </w:r>
          </w:p>
        </w:tc>
        <w:tc>
          <w:tcPr>
            <w:tcW w:w="1134" w:type="dxa"/>
          </w:tcPr>
          <w:p w14:paraId="193D1862" w14:textId="77777777" w:rsidR="000C7D27" w:rsidRPr="00B00EED" w:rsidRDefault="000C7D27" w:rsidP="00284783">
            <w:pPr>
              <w:pStyle w:val="Tabletext"/>
              <w:ind w:right="227"/>
              <w:jc w:val="right"/>
            </w:pPr>
            <w:r w:rsidRPr="00B00EED">
              <w:t>118.52</w:t>
            </w:r>
          </w:p>
        </w:tc>
        <w:tc>
          <w:tcPr>
            <w:tcW w:w="993" w:type="dxa"/>
          </w:tcPr>
          <w:p w14:paraId="57DD33E1" w14:textId="77777777" w:rsidR="000C7D27" w:rsidRPr="00B00EED" w:rsidRDefault="000C7D27" w:rsidP="00284783">
            <w:pPr>
              <w:pStyle w:val="Tabletext"/>
              <w:ind w:right="227"/>
              <w:jc w:val="right"/>
            </w:pPr>
            <w:r w:rsidRPr="00B00EED">
              <w:t>54.45</w:t>
            </w:r>
          </w:p>
        </w:tc>
      </w:tr>
      <w:tr w:rsidR="000C7D27" w:rsidRPr="00B00EED" w14:paraId="2735CECE" w14:textId="77777777" w:rsidTr="00955353">
        <w:tc>
          <w:tcPr>
            <w:tcW w:w="1134" w:type="dxa"/>
            <w:gridSpan w:val="2"/>
          </w:tcPr>
          <w:p w14:paraId="3C637D63" w14:textId="77777777" w:rsidR="000C7D27" w:rsidRPr="00B00EED" w:rsidRDefault="000C7D27" w:rsidP="00782717">
            <w:pPr>
              <w:pStyle w:val="Tabletext"/>
            </w:pPr>
            <w:r w:rsidRPr="00B00EED">
              <w:t>2015</w:t>
            </w:r>
          </w:p>
        </w:tc>
        <w:tc>
          <w:tcPr>
            <w:tcW w:w="567" w:type="dxa"/>
          </w:tcPr>
          <w:p w14:paraId="4FCE161B" w14:textId="77777777" w:rsidR="000C7D27" w:rsidRPr="00B00EED" w:rsidRDefault="000C7D27" w:rsidP="00284783">
            <w:pPr>
              <w:pStyle w:val="Tabletext"/>
              <w:ind w:right="113"/>
              <w:jc w:val="right"/>
            </w:pPr>
            <w:r w:rsidRPr="00B00EED">
              <w:t>13.19</w:t>
            </w:r>
          </w:p>
        </w:tc>
        <w:tc>
          <w:tcPr>
            <w:tcW w:w="1418" w:type="dxa"/>
            <w:gridSpan w:val="2"/>
          </w:tcPr>
          <w:p w14:paraId="3032ED2A" w14:textId="77777777" w:rsidR="000C7D27" w:rsidRPr="00B00EED" w:rsidRDefault="000C7D27" w:rsidP="00284783">
            <w:pPr>
              <w:pStyle w:val="Tabletext"/>
              <w:ind w:right="227"/>
              <w:jc w:val="right"/>
            </w:pPr>
            <w:r w:rsidRPr="00B00EED">
              <w:t>6.08</w:t>
            </w:r>
          </w:p>
        </w:tc>
        <w:tc>
          <w:tcPr>
            <w:tcW w:w="1559" w:type="dxa"/>
            <w:gridSpan w:val="2"/>
          </w:tcPr>
          <w:p w14:paraId="2CC1388E" w14:textId="77777777" w:rsidR="000C7D27" w:rsidRPr="00B00EED" w:rsidRDefault="000C7D27" w:rsidP="00284783">
            <w:pPr>
              <w:pStyle w:val="Tabletext"/>
              <w:ind w:right="227"/>
              <w:jc w:val="right"/>
            </w:pPr>
            <w:r w:rsidRPr="00B00EED">
              <w:t>75.15</w:t>
            </w:r>
          </w:p>
        </w:tc>
        <w:tc>
          <w:tcPr>
            <w:tcW w:w="992" w:type="dxa"/>
          </w:tcPr>
          <w:p w14:paraId="0BA36054" w14:textId="77777777" w:rsidR="000C7D27" w:rsidRPr="00B00EED" w:rsidRDefault="000C7D27" w:rsidP="00284783">
            <w:pPr>
              <w:pStyle w:val="Tabletext"/>
              <w:ind w:right="227"/>
              <w:jc w:val="right"/>
            </w:pPr>
            <w:r w:rsidRPr="00B00EED">
              <w:t>36.50</w:t>
            </w:r>
          </w:p>
        </w:tc>
        <w:tc>
          <w:tcPr>
            <w:tcW w:w="1134" w:type="dxa"/>
          </w:tcPr>
          <w:p w14:paraId="15B32799" w14:textId="77777777" w:rsidR="000C7D27" w:rsidRPr="00B00EED" w:rsidRDefault="000C7D27" w:rsidP="00284783">
            <w:pPr>
              <w:pStyle w:val="Tabletext"/>
              <w:ind w:right="227"/>
              <w:jc w:val="right"/>
            </w:pPr>
            <w:r w:rsidRPr="00B00EED">
              <w:t>111.65</w:t>
            </w:r>
          </w:p>
        </w:tc>
        <w:tc>
          <w:tcPr>
            <w:tcW w:w="993" w:type="dxa"/>
          </w:tcPr>
          <w:p w14:paraId="1502CB16" w14:textId="77777777" w:rsidR="000C7D27" w:rsidRPr="00B00EED" w:rsidRDefault="000C7D27" w:rsidP="00284783">
            <w:pPr>
              <w:pStyle w:val="Tabletext"/>
              <w:ind w:right="227"/>
              <w:jc w:val="right"/>
            </w:pPr>
            <w:r w:rsidRPr="00B00EED">
              <w:t>46.35</w:t>
            </w:r>
          </w:p>
        </w:tc>
      </w:tr>
      <w:tr w:rsidR="000C7D27" w:rsidRPr="00B00EED" w14:paraId="2CD17A41" w14:textId="77777777" w:rsidTr="00955353">
        <w:tc>
          <w:tcPr>
            <w:tcW w:w="1134" w:type="dxa"/>
            <w:gridSpan w:val="2"/>
            <w:tcBorders>
              <w:bottom w:val="single" w:sz="4" w:space="0" w:color="auto"/>
            </w:tcBorders>
          </w:tcPr>
          <w:p w14:paraId="564B7712" w14:textId="77777777" w:rsidR="000C7D27" w:rsidRPr="00B00EED" w:rsidRDefault="000C7D27" w:rsidP="00782717">
            <w:pPr>
              <w:pStyle w:val="Tabletext"/>
            </w:pPr>
            <w:r w:rsidRPr="00B00EED">
              <w:t>2016</w:t>
            </w:r>
          </w:p>
        </w:tc>
        <w:tc>
          <w:tcPr>
            <w:tcW w:w="567" w:type="dxa"/>
            <w:tcBorders>
              <w:bottom w:val="single" w:sz="4" w:space="0" w:color="auto"/>
            </w:tcBorders>
          </w:tcPr>
          <w:p w14:paraId="2823DD42" w14:textId="77777777" w:rsidR="000C7D27" w:rsidRPr="00B00EED" w:rsidRDefault="000C7D27" w:rsidP="00284783">
            <w:pPr>
              <w:pStyle w:val="Tabletext"/>
              <w:ind w:right="113"/>
              <w:jc w:val="right"/>
            </w:pPr>
            <w:r w:rsidRPr="00B00EED">
              <w:t>12.73</w:t>
            </w:r>
          </w:p>
        </w:tc>
        <w:tc>
          <w:tcPr>
            <w:tcW w:w="1418" w:type="dxa"/>
            <w:gridSpan w:val="2"/>
            <w:tcBorders>
              <w:bottom w:val="single" w:sz="4" w:space="0" w:color="auto"/>
            </w:tcBorders>
          </w:tcPr>
          <w:p w14:paraId="02EC0027" w14:textId="77777777" w:rsidR="000C7D27" w:rsidRPr="00B00EED" w:rsidRDefault="000C7D27" w:rsidP="00284783">
            <w:pPr>
              <w:pStyle w:val="Tabletext"/>
              <w:ind w:right="227"/>
              <w:jc w:val="right"/>
            </w:pPr>
            <w:r w:rsidRPr="00B00EED">
              <w:t>5.72</w:t>
            </w:r>
          </w:p>
        </w:tc>
        <w:tc>
          <w:tcPr>
            <w:tcW w:w="1559" w:type="dxa"/>
            <w:gridSpan w:val="2"/>
            <w:tcBorders>
              <w:bottom w:val="single" w:sz="4" w:space="0" w:color="auto"/>
            </w:tcBorders>
          </w:tcPr>
          <w:p w14:paraId="32CE7D1C" w14:textId="77777777" w:rsidR="000C7D27" w:rsidRPr="00B00EED" w:rsidRDefault="000C7D27" w:rsidP="00284783">
            <w:pPr>
              <w:pStyle w:val="Tabletext"/>
              <w:ind w:right="227"/>
              <w:jc w:val="right"/>
            </w:pPr>
            <w:r w:rsidRPr="00B00EED">
              <w:t>76.79</w:t>
            </w:r>
          </w:p>
        </w:tc>
        <w:tc>
          <w:tcPr>
            <w:tcW w:w="992" w:type="dxa"/>
            <w:tcBorders>
              <w:bottom w:val="single" w:sz="4" w:space="0" w:color="auto"/>
            </w:tcBorders>
          </w:tcPr>
          <w:p w14:paraId="36A263B5" w14:textId="77777777" w:rsidR="000C7D27" w:rsidRPr="00B00EED" w:rsidRDefault="000C7D27" w:rsidP="00284783">
            <w:pPr>
              <w:pStyle w:val="Tabletext"/>
              <w:ind w:right="227"/>
              <w:jc w:val="right"/>
            </w:pPr>
            <w:r w:rsidRPr="00B00EED">
              <w:t>35.50</w:t>
            </w:r>
          </w:p>
        </w:tc>
        <w:tc>
          <w:tcPr>
            <w:tcW w:w="1134" w:type="dxa"/>
            <w:tcBorders>
              <w:bottom w:val="single" w:sz="4" w:space="0" w:color="auto"/>
            </w:tcBorders>
          </w:tcPr>
          <w:p w14:paraId="0ED7DAA4" w14:textId="77777777" w:rsidR="000C7D27" w:rsidRPr="00B00EED" w:rsidRDefault="000C7D27" w:rsidP="00284783">
            <w:pPr>
              <w:pStyle w:val="Tabletext"/>
              <w:ind w:right="227"/>
              <w:jc w:val="right"/>
            </w:pPr>
            <w:r w:rsidRPr="00B00EED">
              <w:t>112.29</w:t>
            </w:r>
          </w:p>
        </w:tc>
        <w:tc>
          <w:tcPr>
            <w:tcW w:w="993" w:type="dxa"/>
            <w:tcBorders>
              <w:bottom w:val="single" w:sz="4" w:space="0" w:color="auto"/>
            </w:tcBorders>
          </w:tcPr>
          <w:p w14:paraId="09EB8EC9" w14:textId="77777777" w:rsidR="000C7D27" w:rsidRPr="00B00EED" w:rsidRDefault="000C7D27" w:rsidP="00284783">
            <w:pPr>
              <w:pStyle w:val="Tabletext"/>
              <w:ind w:right="227"/>
              <w:jc w:val="right"/>
            </w:pPr>
            <w:r w:rsidRPr="00B00EED">
              <w:t>43.22</w:t>
            </w:r>
          </w:p>
        </w:tc>
      </w:tr>
    </w:tbl>
    <w:p w14:paraId="7B4BE328" w14:textId="2ABCDC03" w:rsidR="000C7D27" w:rsidRPr="00782717" w:rsidRDefault="000C7D27" w:rsidP="00782717">
      <w:pPr>
        <w:pStyle w:val="Source"/>
        <w:ind w:left="0" w:firstLine="0"/>
      </w:pPr>
      <w:r w:rsidRPr="00782717">
        <w:t>Sources</w:t>
      </w:r>
      <w:r w:rsidR="00233F5A">
        <w:t>:</w:t>
      </w:r>
      <w:r w:rsidR="00EB1D48">
        <w:t xml:space="preserve"> </w:t>
      </w:r>
      <w:r w:rsidRPr="00782717">
        <w:t>Unemployment data from ABS (2018)</w:t>
      </w:r>
      <w:r w:rsidR="006A40F7">
        <w:t>; a</w:t>
      </w:r>
      <w:r w:rsidRPr="00782717">
        <w:t xml:space="preserve">pprenticeship commencements, which exclude students at school, from VOCSTATS </w:t>
      </w:r>
      <w:r w:rsidR="006A40F7">
        <w:t>&lt;</w:t>
      </w:r>
      <w:r w:rsidR="00782717" w:rsidRPr="00782717">
        <w:rPr>
          <w:rStyle w:val="Hyperlink"/>
          <w:rFonts w:ascii="Arial" w:hAnsi="Arial"/>
          <w:sz w:val="15"/>
        </w:rPr>
        <w:t>http://www.ncver.edu.au/resources/vocstats.html</w:t>
      </w:r>
      <w:r w:rsidR="006A40F7">
        <w:t>&gt;, viewed</w:t>
      </w:r>
      <w:r w:rsidRPr="00782717">
        <w:t xml:space="preserve"> </w:t>
      </w:r>
      <w:r w:rsidR="006A40F7">
        <w:t>14 December 2018.</w:t>
      </w:r>
    </w:p>
    <w:p w14:paraId="295663AD" w14:textId="77777777" w:rsidR="000C7D27" w:rsidRPr="00782717" w:rsidRDefault="000C7D27" w:rsidP="00782717">
      <w:pPr>
        <w:pStyle w:val="Text"/>
      </w:pPr>
      <w:r w:rsidRPr="00782717">
        <w:t>With fewer apprenticeship opportunities, young people need to consider alternatives, and these include non-apprenticeship VET and university study.</w:t>
      </w:r>
    </w:p>
    <w:p w14:paraId="723ABE49" w14:textId="77777777" w:rsidR="000C7D27" w:rsidRPr="00782717" w:rsidRDefault="000C7D27" w:rsidP="00782717">
      <w:pPr>
        <w:pStyle w:val="Text"/>
      </w:pPr>
      <w:r w:rsidRPr="00782717">
        <w:t>Post-school participation in education and training is correlated with unemployment rates. When unemployment is high, enrolments in non-apprenticeship VET and higher education tend to increase as the opportunity cost of participation is reduced. However, other factors, most notably changes in higher education policy, have exerted a substantial influence on tertiary education participation.</w:t>
      </w:r>
    </w:p>
    <w:p w14:paraId="52A2D993" w14:textId="77777777" w:rsidR="000C7D27" w:rsidRDefault="000C7D27" w:rsidP="000C7D27">
      <w:pPr>
        <w:pStyle w:val="Heading2"/>
        <w:rPr>
          <w:lang w:eastAsia="en-AU"/>
        </w:rPr>
      </w:pPr>
      <w:bookmarkStart w:id="124" w:name="_Toc15048912"/>
      <w:bookmarkStart w:id="125" w:name="_Toc19803925"/>
      <w:r>
        <w:rPr>
          <w:lang w:eastAsia="en-AU"/>
        </w:rPr>
        <w:t>The Bradley review into higher education</w:t>
      </w:r>
      <w:bookmarkEnd w:id="124"/>
      <w:bookmarkEnd w:id="125"/>
    </w:p>
    <w:p w14:paraId="4C81BB56" w14:textId="09E3741E" w:rsidR="000C7D27" w:rsidRDefault="000C7D27" w:rsidP="00782717">
      <w:pPr>
        <w:pStyle w:val="Text"/>
        <w:rPr>
          <w:lang w:eastAsia="en-AU"/>
        </w:rPr>
      </w:pPr>
      <w:r>
        <w:rPr>
          <w:lang w:eastAsia="en-AU"/>
        </w:rPr>
        <w:t>The Bradley review into higher education (Bradley et al. 2008) recommended major reforms to higher education. Most of its 46 recommendations were accepted in 2009 and implemented by 2012 (Department of Education</w:t>
      </w:r>
      <w:r w:rsidR="00782717">
        <w:rPr>
          <w:lang w:eastAsia="en-AU"/>
        </w:rPr>
        <w:t>,</w:t>
      </w:r>
      <w:r>
        <w:rPr>
          <w:lang w:eastAsia="en-AU"/>
        </w:rPr>
        <w:t xml:space="preserve"> Employment and Workplace Relations 2009). These recommendations included participation and attainment targets, funding and regulatory arrangements.</w:t>
      </w:r>
    </w:p>
    <w:p w14:paraId="27FCB167" w14:textId="5D62B3EF" w:rsidR="000C7D27" w:rsidRDefault="000C7D27" w:rsidP="00782717">
      <w:pPr>
        <w:pStyle w:val="Text"/>
        <w:rPr>
          <w:lang w:eastAsia="en-AU"/>
        </w:rPr>
      </w:pPr>
      <w:r>
        <w:rPr>
          <w:lang w:eastAsia="en-AU"/>
        </w:rPr>
        <w:t xml:space="preserve">Recommendations 2 and 25 are particularly significant. Recommendation 2 (Bradley et al. 2008, p.21) called for a national target of 40% of 25 to </w:t>
      </w:r>
      <w:r w:rsidR="00782717">
        <w:rPr>
          <w:lang w:eastAsia="en-AU"/>
        </w:rPr>
        <w:t>34-year-olds</w:t>
      </w:r>
      <w:r>
        <w:rPr>
          <w:lang w:eastAsia="en-AU"/>
        </w:rPr>
        <w:t xml:space="preserve"> having a bachelor</w:t>
      </w:r>
      <w:r w:rsidR="000C0762">
        <w:rPr>
          <w:lang w:eastAsia="en-AU"/>
        </w:rPr>
        <w:t>’s</w:t>
      </w:r>
      <w:r>
        <w:rPr>
          <w:lang w:eastAsia="en-AU"/>
        </w:rPr>
        <w:t xml:space="preserve"> degree by 2020. This was supported by Recommendation 25 (Bradley et al. 2008, p.152) that entailed an open-ended and demand-driven funding model. This replaced the previously capped enrolment envelopes negotiated between universities and the relevant Commonwealth department. These recommendations were reinforced in Recommendation 29 (Bradley et al. 2008, p.158)</w:t>
      </w:r>
      <w:r w:rsidR="000C0762">
        <w:rPr>
          <w:lang w:eastAsia="en-AU"/>
        </w:rPr>
        <w:t>, which</w:t>
      </w:r>
      <w:r>
        <w:rPr>
          <w:lang w:eastAsia="en-AU"/>
        </w:rPr>
        <w:t xml:space="preserve"> included the suggestions that universities set their own admissions standards, enrol as many students as they wished, and that no limit be placed on funding. Collectively, these recommendations were designed to increase the number of university enrolments, an intention that has been realised, although with impacts on the VET sector.</w:t>
      </w:r>
    </w:p>
    <w:p w14:paraId="242E8A1F" w14:textId="35410DE5" w:rsidR="000C7D27" w:rsidRDefault="000C7D27" w:rsidP="00782717">
      <w:pPr>
        <w:pStyle w:val="Text"/>
        <w:rPr>
          <w:lang w:eastAsia="en-AU"/>
        </w:rPr>
      </w:pPr>
      <w:r>
        <w:rPr>
          <w:lang w:eastAsia="en-AU"/>
        </w:rPr>
        <w:t xml:space="preserve">A further recommendation that influenced enrolments in VET qualifications was Recommendation 4 that </w:t>
      </w:r>
      <w:r w:rsidR="007451EC">
        <w:rPr>
          <w:lang w:eastAsia="en-AU"/>
        </w:rPr>
        <w:t>‘</w:t>
      </w:r>
      <w:r>
        <w:rPr>
          <w:lang w:eastAsia="en-AU"/>
        </w:rPr>
        <w:t>by 2020, 20 per cent of higher education enrolments at undergraduate level are people from low socio-economic status backgrounds</w:t>
      </w:r>
      <w:r w:rsidR="007451EC">
        <w:rPr>
          <w:lang w:eastAsia="en-AU"/>
        </w:rPr>
        <w:t>’</w:t>
      </w:r>
      <w:r>
        <w:rPr>
          <w:lang w:eastAsia="en-AU"/>
        </w:rPr>
        <w:t xml:space="preserve"> (Bradley et al. 2008, p.45). This recommendation was destined to influence VET participation</w:t>
      </w:r>
      <w:r w:rsidR="00CF35A9">
        <w:rPr>
          <w:lang w:eastAsia="en-AU"/>
        </w:rPr>
        <w:t>,</w:t>
      </w:r>
      <w:r>
        <w:rPr>
          <w:lang w:eastAsia="en-AU"/>
        </w:rPr>
        <w:t xml:space="preserve"> as low-SES </w:t>
      </w:r>
      <w:r w:rsidR="00221BA6">
        <w:rPr>
          <w:lang w:eastAsia="en-AU"/>
        </w:rPr>
        <w:t xml:space="preserve">individuals </w:t>
      </w:r>
      <w:r>
        <w:rPr>
          <w:lang w:eastAsia="en-AU"/>
        </w:rPr>
        <w:t xml:space="preserve">were underrepresented in university enrolments but rather better represented </w:t>
      </w:r>
      <w:r>
        <w:rPr>
          <w:lang w:eastAsia="en-AU"/>
        </w:rPr>
        <w:lastRenderedPageBreak/>
        <w:t>among VET students. Universities that achieved low-SES enrolment targets gained additional funding, so an incentive to attract low-SES students was established.</w:t>
      </w:r>
    </w:p>
    <w:p w14:paraId="08CD6B78" w14:textId="19FAE7B2" w:rsidR="00284783" w:rsidRDefault="000C7D27" w:rsidP="00955353">
      <w:pPr>
        <w:pStyle w:val="Text"/>
        <w:rPr>
          <w:lang w:eastAsia="en-AU"/>
        </w:rPr>
      </w:pPr>
      <w:r>
        <w:rPr>
          <w:lang w:eastAsia="en-AU"/>
        </w:rPr>
        <w:t>Although not a recommendation, the Bradley review (2008, pp.191</w:t>
      </w:r>
      <w:r w:rsidR="007451EC">
        <w:rPr>
          <w:lang w:eastAsia="en-AU"/>
        </w:rPr>
        <w:t>−</w:t>
      </w:r>
      <w:r>
        <w:rPr>
          <w:lang w:eastAsia="en-AU"/>
        </w:rPr>
        <w:t xml:space="preserve">3) called for better pathways between VET and higher education and suggested the introduction of graded assessment of </w:t>
      </w:r>
      <w:r w:rsidR="00CF0F45">
        <w:rPr>
          <w:lang w:eastAsia="en-AU"/>
        </w:rPr>
        <w:t>higher-level</w:t>
      </w:r>
      <w:r>
        <w:rPr>
          <w:lang w:eastAsia="en-AU"/>
        </w:rPr>
        <w:t xml:space="preserve"> VET qualifications</w:t>
      </w:r>
      <w:r w:rsidR="007451EC">
        <w:rPr>
          <w:lang w:eastAsia="en-AU"/>
        </w:rPr>
        <w:t>, which</w:t>
      </w:r>
      <w:r>
        <w:rPr>
          <w:lang w:eastAsia="en-AU"/>
        </w:rPr>
        <w:t xml:space="preserve"> would facilitate credit transfer into university courses. Here, rather than changes to assessment practices, a core curriculum</w:t>
      </w:r>
      <w:r w:rsidR="002C42E8">
        <w:rPr>
          <w:lang w:eastAsia="en-AU"/>
        </w:rPr>
        <w:t>,</w:t>
      </w:r>
      <w:r>
        <w:rPr>
          <w:lang w:eastAsia="en-AU"/>
        </w:rPr>
        <w:t xml:space="preserve"> required in order to achieve certification as an enrolled or registered nurse</w:t>
      </w:r>
      <w:r w:rsidR="002C42E8">
        <w:rPr>
          <w:lang w:eastAsia="en-AU"/>
        </w:rPr>
        <w:t>,</w:t>
      </w:r>
      <w:r>
        <w:rPr>
          <w:lang w:eastAsia="en-AU"/>
        </w:rPr>
        <w:t xml:space="preserve"> seems to have been the driver.</w:t>
      </w:r>
    </w:p>
    <w:p w14:paraId="40063E68" w14:textId="394E5DBC" w:rsidR="000C7D27" w:rsidRDefault="000C7D27" w:rsidP="00740088">
      <w:pPr>
        <w:pStyle w:val="tabletitle0"/>
      </w:pPr>
      <w:bookmarkStart w:id="126" w:name="_Ref532906867"/>
      <w:bookmarkStart w:id="127" w:name="_Toc19001668"/>
      <w:r>
        <w:t xml:space="preserve">Table </w:t>
      </w:r>
      <w:bookmarkEnd w:id="126"/>
      <w:r w:rsidR="00061C61" w:rsidRPr="00366753">
        <w:rPr>
          <w:rStyle w:val="CommentReference"/>
          <w:rFonts w:cs="Arial"/>
          <w:lang w:eastAsia="en-AU"/>
        </w:rPr>
        <w:t>11</w:t>
      </w:r>
      <w:r>
        <w:tab/>
        <w:t>Trends in tertiary education commencements, 2006</w:t>
      </w:r>
      <w:r w:rsidR="002C42E8">
        <w:rPr>
          <w:rFonts w:cs="Arial"/>
        </w:rPr>
        <w:t>−</w:t>
      </w:r>
      <w:r>
        <w:t>16</w:t>
      </w:r>
      <w:bookmarkEnd w:id="127"/>
    </w:p>
    <w:tbl>
      <w:tblPr>
        <w:tblStyle w:val="TableGrid"/>
        <w:tblW w:w="8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851"/>
        <w:gridCol w:w="1559"/>
        <w:gridCol w:w="1418"/>
        <w:gridCol w:w="1276"/>
        <w:gridCol w:w="1276"/>
        <w:gridCol w:w="1276"/>
        <w:gridCol w:w="1276"/>
      </w:tblGrid>
      <w:tr w:rsidR="000C7D27" w:rsidRPr="00E57903" w14:paraId="4E4788AF" w14:textId="77777777" w:rsidTr="00464447">
        <w:tc>
          <w:tcPr>
            <w:tcW w:w="851" w:type="dxa"/>
            <w:tcBorders>
              <w:top w:val="single" w:sz="4" w:space="0" w:color="auto"/>
            </w:tcBorders>
          </w:tcPr>
          <w:p w14:paraId="4A94FA0A" w14:textId="77777777" w:rsidR="000C7D27" w:rsidRPr="00CF0F45" w:rsidRDefault="000C7D27" w:rsidP="00B07E57">
            <w:pPr>
              <w:pStyle w:val="Tabletext"/>
              <w:rPr>
                <w:b/>
              </w:rPr>
            </w:pPr>
          </w:p>
        </w:tc>
        <w:tc>
          <w:tcPr>
            <w:tcW w:w="1559" w:type="dxa"/>
            <w:tcBorders>
              <w:top w:val="single" w:sz="4" w:space="0" w:color="auto"/>
            </w:tcBorders>
          </w:tcPr>
          <w:p w14:paraId="50493ECD" w14:textId="1BF246FE" w:rsidR="000C7D27" w:rsidRPr="00CF0F45" w:rsidRDefault="000C7D27" w:rsidP="00B07E57">
            <w:pPr>
              <w:pStyle w:val="Tabletext"/>
              <w:rPr>
                <w:b/>
              </w:rPr>
            </w:pPr>
            <w:r w:rsidRPr="00CF0F45">
              <w:rPr>
                <w:b/>
              </w:rPr>
              <w:t>Domestic undergraduate commencements</w:t>
            </w:r>
          </w:p>
        </w:tc>
        <w:tc>
          <w:tcPr>
            <w:tcW w:w="3970" w:type="dxa"/>
            <w:gridSpan w:val="3"/>
            <w:tcBorders>
              <w:top w:val="single" w:sz="4" w:space="0" w:color="auto"/>
            </w:tcBorders>
          </w:tcPr>
          <w:p w14:paraId="24FB3144" w14:textId="77777777" w:rsidR="000C7D27" w:rsidRPr="00CF0F45" w:rsidRDefault="000C7D27" w:rsidP="00B07E57">
            <w:pPr>
              <w:pStyle w:val="Tabletext"/>
              <w:rPr>
                <w:b/>
              </w:rPr>
            </w:pPr>
            <w:r w:rsidRPr="00CF0F45">
              <w:rPr>
                <w:b/>
              </w:rPr>
              <w:t>Non-apprenticeship VET commencements</w:t>
            </w:r>
          </w:p>
        </w:tc>
        <w:tc>
          <w:tcPr>
            <w:tcW w:w="1276" w:type="dxa"/>
            <w:tcBorders>
              <w:top w:val="single" w:sz="4" w:space="0" w:color="auto"/>
            </w:tcBorders>
          </w:tcPr>
          <w:p w14:paraId="539DBBAB" w14:textId="000EA4DA" w:rsidR="000C7D27" w:rsidRPr="00CF0F45" w:rsidRDefault="000C7D27" w:rsidP="00B07E57">
            <w:pPr>
              <w:pStyle w:val="Tabletext"/>
              <w:rPr>
                <w:b/>
              </w:rPr>
            </w:pPr>
            <w:r w:rsidRPr="00CF0F45">
              <w:rPr>
                <w:b/>
              </w:rPr>
              <w:t xml:space="preserve">Total </w:t>
            </w:r>
            <w:r w:rsidR="002C42E8">
              <w:rPr>
                <w:b/>
              </w:rPr>
              <w:t>t</w:t>
            </w:r>
            <w:r w:rsidRPr="00CF0F45">
              <w:rPr>
                <w:b/>
              </w:rPr>
              <w:t>ertiary</w:t>
            </w:r>
          </w:p>
        </w:tc>
        <w:tc>
          <w:tcPr>
            <w:tcW w:w="1276" w:type="dxa"/>
            <w:tcBorders>
              <w:top w:val="single" w:sz="4" w:space="0" w:color="auto"/>
            </w:tcBorders>
          </w:tcPr>
          <w:p w14:paraId="65357146" w14:textId="77777777" w:rsidR="000C7D27" w:rsidRPr="00CF0F45" w:rsidRDefault="000C7D27" w:rsidP="00B07E57">
            <w:pPr>
              <w:pStyle w:val="Tabletext"/>
              <w:rPr>
                <w:b/>
              </w:rPr>
            </w:pPr>
            <w:r w:rsidRPr="00CF0F45">
              <w:rPr>
                <w:b/>
              </w:rPr>
              <w:t>Proportion of tertiary students at university</w:t>
            </w:r>
          </w:p>
        </w:tc>
      </w:tr>
      <w:tr w:rsidR="000C7D27" w:rsidRPr="00E57903" w14:paraId="3FAEE5B4" w14:textId="77777777" w:rsidTr="00464447">
        <w:tc>
          <w:tcPr>
            <w:tcW w:w="851" w:type="dxa"/>
            <w:tcBorders>
              <w:bottom w:val="single" w:sz="4" w:space="0" w:color="auto"/>
            </w:tcBorders>
          </w:tcPr>
          <w:p w14:paraId="29537DE3" w14:textId="77777777" w:rsidR="000C7D27" w:rsidRPr="00E57903" w:rsidRDefault="000C7D27" w:rsidP="00CF0F45">
            <w:pPr>
              <w:pStyle w:val="Tabletext"/>
            </w:pPr>
            <w:r w:rsidRPr="00E57903">
              <w:t>Year</w:t>
            </w:r>
          </w:p>
        </w:tc>
        <w:tc>
          <w:tcPr>
            <w:tcW w:w="1559" w:type="dxa"/>
            <w:tcBorders>
              <w:bottom w:val="single" w:sz="4" w:space="0" w:color="auto"/>
            </w:tcBorders>
          </w:tcPr>
          <w:p w14:paraId="03113EEA" w14:textId="77777777" w:rsidR="000C7D27" w:rsidRPr="00E57903" w:rsidRDefault="000C7D27" w:rsidP="00CF0F45">
            <w:pPr>
              <w:pStyle w:val="Tabletext"/>
            </w:pPr>
            <w:r w:rsidRPr="00E57903">
              <w:t>Number</w:t>
            </w:r>
          </w:p>
        </w:tc>
        <w:tc>
          <w:tcPr>
            <w:tcW w:w="1418" w:type="dxa"/>
            <w:tcBorders>
              <w:bottom w:val="single" w:sz="4" w:space="0" w:color="auto"/>
            </w:tcBorders>
          </w:tcPr>
          <w:p w14:paraId="47A75B7E" w14:textId="4CE3CB82" w:rsidR="000C7D27" w:rsidRPr="00E57903" w:rsidRDefault="000C7D27" w:rsidP="00CF0F45">
            <w:pPr>
              <w:pStyle w:val="Tabletext"/>
            </w:pPr>
            <w:r w:rsidRPr="00E57903">
              <w:t>15</w:t>
            </w:r>
            <w:r w:rsidR="002C42E8">
              <w:rPr>
                <w:rFonts w:cs="Arial"/>
              </w:rPr>
              <w:t>−</w:t>
            </w:r>
            <w:r w:rsidRPr="00E57903">
              <w:t>19</w:t>
            </w:r>
          </w:p>
        </w:tc>
        <w:tc>
          <w:tcPr>
            <w:tcW w:w="1276" w:type="dxa"/>
            <w:tcBorders>
              <w:bottom w:val="single" w:sz="4" w:space="0" w:color="auto"/>
            </w:tcBorders>
          </w:tcPr>
          <w:p w14:paraId="7A6DCB5C" w14:textId="66BF5F56" w:rsidR="000C7D27" w:rsidRPr="00E57903" w:rsidRDefault="000C7D27" w:rsidP="00CF0F45">
            <w:pPr>
              <w:pStyle w:val="Tabletext"/>
            </w:pPr>
            <w:r w:rsidRPr="00E57903">
              <w:t>20</w:t>
            </w:r>
            <w:r w:rsidR="002C42E8">
              <w:rPr>
                <w:rFonts w:cs="Arial"/>
              </w:rPr>
              <w:t>−</w:t>
            </w:r>
            <w:r w:rsidRPr="00E57903">
              <w:t>24</w:t>
            </w:r>
          </w:p>
        </w:tc>
        <w:tc>
          <w:tcPr>
            <w:tcW w:w="1276" w:type="dxa"/>
            <w:tcBorders>
              <w:bottom w:val="single" w:sz="4" w:space="0" w:color="auto"/>
            </w:tcBorders>
          </w:tcPr>
          <w:p w14:paraId="611F906A" w14:textId="6A5746FF" w:rsidR="000C7D27" w:rsidRPr="00E57903" w:rsidRDefault="000C7D27" w:rsidP="00CF0F45">
            <w:pPr>
              <w:pStyle w:val="Tabletext"/>
            </w:pPr>
            <w:r w:rsidRPr="00E57903">
              <w:t>15</w:t>
            </w:r>
            <w:r w:rsidR="002C42E8">
              <w:rPr>
                <w:rFonts w:cs="Arial"/>
              </w:rPr>
              <w:t>−</w:t>
            </w:r>
            <w:r w:rsidRPr="00E57903">
              <w:t>24</w:t>
            </w:r>
          </w:p>
        </w:tc>
        <w:tc>
          <w:tcPr>
            <w:tcW w:w="1276" w:type="dxa"/>
            <w:tcBorders>
              <w:bottom w:val="single" w:sz="4" w:space="0" w:color="auto"/>
            </w:tcBorders>
          </w:tcPr>
          <w:p w14:paraId="12F4266D" w14:textId="77777777" w:rsidR="000C7D27" w:rsidRPr="00E57903" w:rsidRDefault="000C7D27" w:rsidP="00CF0F45">
            <w:pPr>
              <w:pStyle w:val="Tabletext"/>
            </w:pPr>
          </w:p>
        </w:tc>
        <w:tc>
          <w:tcPr>
            <w:tcW w:w="1276" w:type="dxa"/>
            <w:tcBorders>
              <w:bottom w:val="single" w:sz="4" w:space="0" w:color="auto"/>
            </w:tcBorders>
          </w:tcPr>
          <w:p w14:paraId="3B72D700" w14:textId="77777777" w:rsidR="000C7D27" w:rsidRPr="00E57903" w:rsidRDefault="000C7D27" w:rsidP="00CF0F45">
            <w:pPr>
              <w:pStyle w:val="Tabletext"/>
            </w:pPr>
            <w:r w:rsidRPr="00E57903">
              <w:t>(%)</w:t>
            </w:r>
          </w:p>
        </w:tc>
      </w:tr>
      <w:tr w:rsidR="000C7D27" w:rsidRPr="00E57903" w14:paraId="0819D4A2" w14:textId="77777777" w:rsidTr="00464447">
        <w:tc>
          <w:tcPr>
            <w:tcW w:w="851" w:type="dxa"/>
          </w:tcPr>
          <w:p w14:paraId="33AF07E7" w14:textId="77777777" w:rsidR="000C7D27" w:rsidRPr="00E57903" w:rsidRDefault="000C7D27" w:rsidP="00CF0F45">
            <w:pPr>
              <w:pStyle w:val="Tabletext"/>
            </w:pPr>
            <w:r w:rsidRPr="00E57903">
              <w:t>2006</w:t>
            </w:r>
          </w:p>
        </w:tc>
        <w:tc>
          <w:tcPr>
            <w:tcW w:w="1559" w:type="dxa"/>
          </w:tcPr>
          <w:p w14:paraId="5CCEF6C4" w14:textId="3F67E5DF" w:rsidR="000C7D27" w:rsidRPr="00E57903" w:rsidRDefault="000C7D27" w:rsidP="00CF0F45">
            <w:pPr>
              <w:pStyle w:val="Tabletext"/>
            </w:pPr>
            <w:r w:rsidRPr="00E57903">
              <w:t>180</w:t>
            </w:r>
            <w:r w:rsidR="0013482D">
              <w:t xml:space="preserve"> </w:t>
            </w:r>
            <w:r w:rsidRPr="00E57903">
              <w:t>313</w:t>
            </w:r>
          </w:p>
        </w:tc>
        <w:tc>
          <w:tcPr>
            <w:tcW w:w="1418" w:type="dxa"/>
          </w:tcPr>
          <w:p w14:paraId="0ADDB2D8" w14:textId="08DC2103" w:rsidR="000C7D27" w:rsidRPr="00E57903" w:rsidRDefault="000C7D27" w:rsidP="00CF0F45">
            <w:pPr>
              <w:pStyle w:val="Tabletext"/>
            </w:pPr>
            <w:r w:rsidRPr="00E57903">
              <w:t>110</w:t>
            </w:r>
            <w:r w:rsidR="0013482D">
              <w:t xml:space="preserve"> </w:t>
            </w:r>
            <w:r w:rsidRPr="00E57903">
              <w:t>269</w:t>
            </w:r>
          </w:p>
        </w:tc>
        <w:tc>
          <w:tcPr>
            <w:tcW w:w="1276" w:type="dxa"/>
          </w:tcPr>
          <w:p w14:paraId="7622C2AF" w14:textId="74BF3856" w:rsidR="000C7D27" w:rsidRPr="00E57903" w:rsidRDefault="000C7D27" w:rsidP="00CF0F45">
            <w:pPr>
              <w:pStyle w:val="Tabletext"/>
            </w:pPr>
            <w:r w:rsidRPr="00E57903">
              <w:t>107</w:t>
            </w:r>
            <w:r w:rsidR="0013482D">
              <w:t xml:space="preserve"> </w:t>
            </w:r>
            <w:r w:rsidRPr="00E57903">
              <w:t>803</w:t>
            </w:r>
          </w:p>
        </w:tc>
        <w:tc>
          <w:tcPr>
            <w:tcW w:w="1276" w:type="dxa"/>
          </w:tcPr>
          <w:p w14:paraId="2E93B8F3" w14:textId="6AE12BCC" w:rsidR="000C7D27" w:rsidRPr="00E57903" w:rsidRDefault="000C7D27" w:rsidP="00CF0F45">
            <w:pPr>
              <w:pStyle w:val="Tabletext"/>
            </w:pPr>
            <w:r w:rsidRPr="00E57903">
              <w:t>218</w:t>
            </w:r>
            <w:r w:rsidR="0013482D">
              <w:t xml:space="preserve"> </w:t>
            </w:r>
            <w:r w:rsidRPr="00E57903">
              <w:t>072</w:t>
            </w:r>
          </w:p>
        </w:tc>
        <w:tc>
          <w:tcPr>
            <w:tcW w:w="1276" w:type="dxa"/>
          </w:tcPr>
          <w:p w14:paraId="742B020A" w14:textId="2818A8D3" w:rsidR="000C7D27" w:rsidRPr="00E57903" w:rsidRDefault="000C7D27" w:rsidP="00CF0F45">
            <w:pPr>
              <w:pStyle w:val="Tabletext"/>
            </w:pPr>
            <w:r w:rsidRPr="00E57903">
              <w:t>398</w:t>
            </w:r>
            <w:r w:rsidR="0013482D">
              <w:t xml:space="preserve"> </w:t>
            </w:r>
            <w:r w:rsidRPr="00E57903">
              <w:t>385</w:t>
            </w:r>
          </w:p>
        </w:tc>
        <w:tc>
          <w:tcPr>
            <w:tcW w:w="1276" w:type="dxa"/>
          </w:tcPr>
          <w:p w14:paraId="30FA2994" w14:textId="77777777" w:rsidR="000C7D27" w:rsidRPr="00E57903" w:rsidRDefault="000C7D27" w:rsidP="00CF0F45">
            <w:pPr>
              <w:pStyle w:val="Tabletext"/>
            </w:pPr>
            <w:r w:rsidRPr="00E57903">
              <w:t>45.3</w:t>
            </w:r>
          </w:p>
        </w:tc>
      </w:tr>
      <w:tr w:rsidR="000C7D27" w:rsidRPr="00E57903" w14:paraId="78BF1A99" w14:textId="77777777" w:rsidTr="00464447">
        <w:tc>
          <w:tcPr>
            <w:tcW w:w="851" w:type="dxa"/>
          </w:tcPr>
          <w:p w14:paraId="61FEF15D" w14:textId="77777777" w:rsidR="000C7D27" w:rsidRPr="00E57903" w:rsidRDefault="000C7D27" w:rsidP="00CF0F45">
            <w:pPr>
              <w:pStyle w:val="Tabletext"/>
            </w:pPr>
            <w:r w:rsidRPr="00E57903">
              <w:t>2007</w:t>
            </w:r>
          </w:p>
        </w:tc>
        <w:tc>
          <w:tcPr>
            <w:tcW w:w="1559" w:type="dxa"/>
          </w:tcPr>
          <w:p w14:paraId="0C7E6490" w14:textId="1B97BF28" w:rsidR="000C7D27" w:rsidRPr="00E57903" w:rsidRDefault="000C7D27" w:rsidP="00CF0F45">
            <w:pPr>
              <w:pStyle w:val="Tabletext"/>
            </w:pPr>
            <w:r w:rsidRPr="00E57903">
              <w:t>186</w:t>
            </w:r>
            <w:r w:rsidR="0013482D">
              <w:t xml:space="preserve"> </w:t>
            </w:r>
            <w:r w:rsidRPr="00E57903">
              <w:t>691</w:t>
            </w:r>
          </w:p>
        </w:tc>
        <w:tc>
          <w:tcPr>
            <w:tcW w:w="1418" w:type="dxa"/>
          </w:tcPr>
          <w:p w14:paraId="67E4B1BD" w14:textId="2B5372CD" w:rsidR="000C7D27" w:rsidRPr="00E57903" w:rsidRDefault="000C7D27" w:rsidP="00CF0F45">
            <w:pPr>
              <w:pStyle w:val="Tabletext"/>
            </w:pPr>
            <w:r w:rsidRPr="00E57903">
              <w:t>109</w:t>
            </w:r>
            <w:r w:rsidR="0013482D">
              <w:t xml:space="preserve"> </w:t>
            </w:r>
            <w:r w:rsidRPr="00E57903">
              <w:t>286</w:t>
            </w:r>
          </w:p>
        </w:tc>
        <w:tc>
          <w:tcPr>
            <w:tcW w:w="1276" w:type="dxa"/>
          </w:tcPr>
          <w:p w14:paraId="4B83A029" w14:textId="6269DE62" w:rsidR="000C7D27" w:rsidRPr="00E57903" w:rsidRDefault="000C7D27" w:rsidP="00CF0F45">
            <w:pPr>
              <w:pStyle w:val="Tabletext"/>
            </w:pPr>
            <w:r w:rsidRPr="00E57903">
              <w:t>106</w:t>
            </w:r>
            <w:r w:rsidR="0013482D">
              <w:t xml:space="preserve"> </w:t>
            </w:r>
            <w:r w:rsidRPr="00E57903">
              <w:t>966</w:t>
            </w:r>
          </w:p>
        </w:tc>
        <w:tc>
          <w:tcPr>
            <w:tcW w:w="1276" w:type="dxa"/>
          </w:tcPr>
          <w:p w14:paraId="13A43271" w14:textId="096D2E1A" w:rsidR="000C7D27" w:rsidRPr="00E57903" w:rsidRDefault="000C7D27" w:rsidP="00CF0F45">
            <w:pPr>
              <w:pStyle w:val="Tabletext"/>
            </w:pPr>
            <w:r w:rsidRPr="00E57903">
              <w:t>216</w:t>
            </w:r>
            <w:r w:rsidR="0013482D">
              <w:t xml:space="preserve"> </w:t>
            </w:r>
            <w:r w:rsidRPr="00E57903">
              <w:t>252</w:t>
            </w:r>
          </w:p>
        </w:tc>
        <w:tc>
          <w:tcPr>
            <w:tcW w:w="1276" w:type="dxa"/>
          </w:tcPr>
          <w:p w14:paraId="1D2FE1F5" w14:textId="6B7D0D86" w:rsidR="000C7D27" w:rsidRPr="00E57903" w:rsidRDefault="000C7D27" w:rsidP="00CF0F45">
            <w:pPr>
              <w:pStyle w:val="Tabletext"/>
            </w:pPr>
            <w:r w:rsidRPr="00E57903">
              <w:t>402</w:t>
            </w:r>
            <w:r w:rsidR="0013482D">
              <w:t xml:space="preserve"> </w:t>
            </w:r>
            <w:r w:rsidRPr="00E57903">
              <w:t>943</w:t>
            </w:r>
          </w:p>
        </w:tc>
        <w:tc>
          <w:tcPr>
            <w:tcW w:w="1276" w:type="dxa"/>
          </w:tcPr>
          <w:p w14:paraId="50FC43BA" w14:textId="77777777" w:rsidR="000C7D27" w:rsidRPr="00E57903" w:rsidRDefault="000C7D27" w:rsidP="00CF0F45">
            <w:pPr>
              <w:pStyle w:val="Tabletext"/>
            </w:pPr>
            <w:r w:rsidRPr="00E57903">
              <w:t>46.3</w:t>
            </w:r>
          </w:p>
        </w:tc>
      </w:tr>
      <w:tr w:rsidR="000C7D27" w:rsidRPr="00E57903" w14:paraId="67114345" w14:textId="77777777" w:rsidTr="00464447">
        <w:tc>
          <w:tcPr>
            <w:tcW w:w="851" w:type="dxa"/>
          </w:tcPr>
          <w:p w14:paraId="566C4C3A" w14:textId="77777777" w:rsidR="000C7D27" w:rsidRPr="00E57903" w:rsidRDefault="000C7D27" w:rsidP="00CF0F45">
            <w:pPr>
              <w:pStyle w:val="Tabletext"/>
            </w:pPr>
            <w:r w:rsidRPr="00E57903">
              <w:t>2008</w:t>
            </w:r>
          </w:p>
        </w:tc>
        <w:tc>
          <w:tcPr>
            <w:tcW w:w="1559" w:type="dxa"/>
          </w:tcPr>
          <w:p w14:paraId="13B53599" w14:textId="49C8DA81" w:rsidR="000C7D27" w:rsidRPr="00E57903" w:rsidRDefault="000C7D27" w:rsidP="00CF0F45">
            <w:pPr>
              <w:pStyle w:val="Tabletext"/>
            </w:pPr>
            <w:r w:rsidRPr="00E57903">
              <w:t>189</w:t>
            </w:r>
            <w:r w:rsidR="0013482D">
              <w:t xml:space="preserve"> </w:t>
            </w:r>
            <w:r w:rsidRPr="00E57903">
              <w:t>516</w:t>
            </w:r>
          </w:p>
        </w:tc>
        <w:tc>
          <w:tcPr>
            <w:tcW w:w="1418" w:type="dxa"/>
          </w:tcPr>
          <w:p w14:paraId="29D5F0F8" w14:textId="05F7BA08" w:rsidR="000C7D27" w:rsidRPr="00E57903" w:rsidRDefault="000C7D27" w:rsidP="00CF0F45">
            <w:pPr>
              <w:pStyle w:val="Tabletext"/>
            </w:pPr>
            <w:r w:rsidRPr="00E57903">
              <w:t>106</w:t>
            </w:r>
            <w:r w:rsidR="0013482D">
              <w:t xml:space="preserve"> </w:t>
            </w:r>
            <w:r w:rsidRPr="00E57903">
              <w:t>890</w:t>
            </w:r>
          </w:p>
        </w:tc>
        <w:tc>
          <w:tcPr>
            <w:tcW w:w="1276" w:type="dxa"/>
          </w:tcPr>
          <w:p w14:paraId="0F8A3163" w14:textId="56DB4075" w:rsidR="000C7D27" w:rsidRPr="00E57903" w:rsidRDefault="000C7D27" w:rsidP="00CF0F45">
            <w:pPr>
              <w:pStyle w:val="Tabletext"/>
            </w:pPr>
            <w:r w:rsidRPr="00E57903">
              <w:t>105</w:t>
            </w:r>
            <w:r w:rsidR="0013482D">
              <w:t xml:space="preserve"> </w:t>
            </w:r>
            <w:r w:rsidRPr="00E57903">
              <w:t>001</w:t>
            </w:r>
          </w:p>
        </w:tc>
        <w:tc>
          <w:tcPr>
            <w:tcW w:w="1276" w:type="dxa"/>
          </w:tcPr>
          <w:p w14:paraId="43956DE5" w14:textId="4B821D9B" w:rsidR="000C7D27" w:rsidRPr="00E57903" w:rsidRDefault="000C7D27" w:rsidP="00CF0F45">
            <w:pPr>
              <w:pStyle w:val="Tabletext"/>
            </w:pPr>
            <w:r w:rsidRPr="00E57903">
              <w:t>211</w:t>
            </w:r>
            <w:r w:rsidR="0013482D">
              <w:t xml:space="preserve"> </w:t>
            </w:r>
            <w:r w:rsidRPr="00E57903">
              <w:t>891</w:t>
            </w:r>
          </w:p>
        </w:tc>
        <w:tc>
          <w:tcPr>
            <w:tcW w:w="1276" w:type="dxa"/>
          </w:tcPr>
          <w:p w14:paraId="56A5B63E" w14:textId="4A3E9333" w:rsidR="000C7D27" w:rsidRPr="00E57903" w:rsidRDefault="000C7D27" w:rsidP="00CF0F45">
            <w:pPr>
              <w:pStyle w:val="Tabletext"/>
            </w:pPr>
            <w:r w:rsidRPr="00E57903">
              <w:t>401</w:t>
            </w:r>
            <w:r w:rsidR="0013482D">
              <w:t xml:space="preserve"> </w:t>
            </w:r>
            <w:r w:rsidRPr="00E57903">
              <w:t>407</w:t>
            </w:r>
          </w:p>
        </w:tc>
        <w:tc>
          <w:tcPr>
            <w:tcW w:w="1276" w:type="dxa"/>
          </w:tcPr>
          <w:p w14:paraId="2E4D5060" w14:textId="77777777" w:rsidR="000C7D27" w:rsidRPr="00E57903" w:rsidRDefault="000C7D27" w:rsidP="00CF0F45">
            <w:pPr>
              <w:pStyle w:val="Tabletext"/>
            </w:pPr>
            <w:r w:rsidRPr="00E57903">
              <w:t>47.2</w:t>
            </w:r>
          </w:p>
        </w:tc>
      </w:tr>
      <w:tr w:rsidR="000C7D27" w:rsidRPr="00E57903" w14:paraId="2F8F30DC" w14:textId="77777777" w:rsidTr="00464447">
        <w:tc>
          <w:tcPr>
            <w:tcW w:w="851" w:type="dxa"/>
          </w:tcPr>
          <w:p w14:paraId="1C4EAA73" w14:textId="77777777" w:rsidR="000C7D27" w:rsidRPr="00E57903" w:rsidRDefault="000C7D27" w:rsidP="00CF0F45">
            <w:pPr>
              <w:pStyle w:val="Tabletext"/>
            </w:pPr>
            <w:r w:rsidRPr="00E57903">
              <w:t>2009</w:t>
            </w:r>
          </w:p>
        </w:tc>
        <w:tc>
          <w:tcPr>
            <w:tcW w:w="1559" w:type="dxa"/>
          </w:tcPr>
          <w:p w14:paraId="10EDC556" w14:textId="74A81EE6" w:rsidR="000C7D27" w:rsidRPr="00E57903" w:rsidRDefault="000C7D27" w:rsidP="00CF0F45">
            <w:pPr>
              <w:pStyle w:val="Tabletext"/>
            </w:pPr>
            <w:r w:rsidRPr="00E57903">
              <w:t>204</w:t>
            </w:r>
            <w:r w:rsidR="0013482D">
              <w:t xml:space="preserve"> </w:t>
            </w:r>
            <w:r w:rsidRPr="00E57903">
              <w:t>879</w:t>
            </w:r>
          </w:p>
        </w:tc>
        <w:tc>
          <w:tcPr>
            <w:tcW w:w="1418" w:type="dxa"/>
          </w:tcPr>
          <w:p w14:paraId="0CB839A1" w14:textId="09372F2D" w:rsidR="000C7D27" w:rsidRPr="00E57903" w:rsidRDefault="000C7D27" w:rsidP="00CF0F45">
            <w:pPr>
              <w:pStyle w:val="Tabletext"/>
            </w:pPr>
            <w:r w:rsidRPr="00E57903">
              <w:t>116</w:t>
            </w:r>
            <w:r w:rsidR="00CA7395">
              <w:t xml:space="preserve"> </w:t>
            </w:r>
            <w:r w:rsidRPr="00E57903">
              <w:t>057</w:t>
            </w:r>
          </w:p>
        </w:tc>
        <w:tc>
          <w:tcPr>
            <w:tcW w:w="1276" w:type="dxa"/>
          </w:tcPr>
          <w:p w14:paraId="1287909C" w14:textId="5B751A9E" w:rsidR="000C7D27" w:rsidRPr="00E57903" w:rsidRDefault="000C7D27" w:rsidP="00CF0F45">
            <w:pPr>
              <w:pStyle w:val="Tabletext"/>
            </w:pPr>
            <w:r w:rsidRPr="00E57903">
              <w:t>112</w:t>
            </w:r>
            <w:r w:rsidR="00CA7395">
              <w:t xml:space="preserve"> </w:t>
            </w:r>
            <w:r w:rsidRPr="00E57903">
              <w:t>052</w:t>
            </w:r>
          </w:p>
        </w:tc>
        <w:tc>
          <w:tcPr>
            <w:tcW w:w="1276" w:type="dxa"/>
          </w:tcPr>
          <w:p w14:paraId="75C37035" w14:textId="17103E21" w:rsidR="000C7D27" w:rsidRPr="00E57903" w:rsidRDefault="000C7D27" w:rsidP="00CF0F45">
            <w:pPr>
              <w:pStyle w:val="Tabletext"/>
            </w:pPr>
            <w:r w:rsidRPr="00E57903">
              <w:t>228</w:t>
            </w:r>
            <w:r w:rsidR="00CA7395">
              <w:t xml:space="preserve"> </w:t>
            </w:r>
            <w:r w:rsidRPr="00E57903">
              <w:t>109</w:t>
            </w:r>
          </w:p>
        </w:tc>
        <w:tc>
          <w:tcPr>
            <w:tcW w:w="1276" w:type="dxa"/>
          </w:tcPr>
          <w:p w14:paraId="65B4A2A7" w14:textId="78F533B1" w:rsidR="000C7D27" w:rsidRPr="00E57903" w:rsidRDefault="000C7D27" w:rsidP="00CF0F45">
            <w:pPr>
              <w:pStyle w:val="Tabletext"/>
            </w:pPr>
            <w:r w:rsidRPr="00E57903">
              <w:t>432</w:t>
            </w:r>
            <w:r w:rsidR="00CA7395">
              <w:t xml:space="preserve"> </w:t>
            </w:r>
            <w:r w:rsidRPr="00E57903">
              <w:t>988</w:t>
            </w:r>
          </w:p>
        </w:tc>
        <w:tc>
          <w:tcPr>
            <w:tcW w:w="1276" w:type="dxa"/>
          </w:tcPr>
          <w:p w14:paraId="5DD0D52E" w14:textId="77777777" w:rsidR="000C7D27" w:rsidRPr="00E57903" w:rsidRDefault="000C7D27" w:rsidP="00CF0F45">
            <w:pPr>
              <w:pStyle w:val="Tabletext"/>
            </w:pPr>
            <w:r w:rsidRPr="00E57903">
              <w:t>47.3</w:t>
            </w:r>
          </w:p>
        </w:tc>
      </w:tr>
      <w:tr w:rsidR="000C7D27" w:rsidRPr="00E57903" w14:paraId="0ECB594B" w14:textId="77777777" w:rsidTr="00464447">
        <w:tc>
          <w:tcPr>
            <w:tcW w:w="851" w:type="dxa"/>
          </w:tcPr>
          <w:p w14:paraId="23523806" w14:textId="77777777" w:rsidR="000C7D27" w:rsidRPr="00E57903" w:rsidRDefault="000C7D27" w:rsidP="00CF0F45">
            <w:pPr>
              <w:pStyle w:val="Tabletext"/>
            </w:pPr>
            <w:r w:rsidRPr="00E57903">
              <w:t>2010</w:t>
            </w:r>
          </w:p>
        </w:tc>
        <w:tc>
          <w:tcPr>
            <w:tcW w:w="1559" w:type="dxa"/>
          </w:tcPr>
          <w:p w14:paraId="243BF853" w14:textId="2A7D63F8" w:rsidR="000C7D27" w:rsidRPr="00E57903" w:rsidRDefault="000C7D27" w:rsidP="00CF0F45">
            <w:pPr>
              <w:pStyle w:val="Tabletext"/>
            </w:pPr>
            <w:r w:rsidRPr="00E57903">
              <w:t>220</w:t>
            </w:r>
            <w:r w:rsidR="0013482D">
              <w:t xml:space="preserve"> </w:t>
            </w:r>
            <w:r w:rsidRPr="00E57903">
              <w:t>104</w:t>
            </w:r>
          </w:p>
        </w:tc>
        <w:tc>
          <w:tcPr>
            <w:tcW w:w="1418" w:type="dxa"/>
          </w:tcPr>
          <w:p w14:paraId="2BB26032" w14:textId="6AD36D37" w:rsidR="000C7D27" w:rsidRPr="00E57903" w:rsidRDefault="000C7D27" w:rsidP="00CF0F45">
            <w:pPr>
              <w:pStyle w:val="Tabletext"/>
            </w:pPr>
            <w:r w:rsidRPr="00E57903">
              <w:t>123</w:t>
            </w:r>
            <w:r w:rsidR="00CA7395">
              <w:t xml:space="preserve"> </w:t>
            </w:r>
            <w:r w:rsidRPr="00E57903">
              <w:t>518</w:t>
            </w:r>
          </w:p>
        </w:tc>
        <w:tc>
          <w:tcPr>
            <w:tcW w:w="1276" w:type="dxa"/>
          </w:tcPr>
          <w:p w14:paraId="7521220C" w14:textId="2F41B331" w:rsidR="000C7D27" w:rsidRPr="00E57903" w:rsidRDefault="000C7D27" w:rsidP="00CF0F45">
            <w:pPr>
              <w:pStyle w:val="Tabletext"/>
            </w:pPr>
            <w:r w:rsidRPr="00E57903">
              <w:t>127</w:t>
            </w:r>
            <w:r w:rsidR="00CA7395">
              <w:t xml:space="preserve"> </w:t>
            </w:r>
            <w:r w:rsidRPr="00E57903">
              <w:t>094</w:t>
            </w:r>
          </w:p>
        </w:tc>
        <w:tc>
          <w:tcPr>
            <w:tcW w:w="1276" w:type="dxa"/>
          </w:tcPr>
          <w:p w14:paraId="132415EE" w14:textId="39A05E4C" w:rsidR="000C7D27" w:rsidRPr="00E57903" w:rsidRDefault="000C7D27" w:rsidP="00CF0F45">
            <w:pPr>
              <w:pStyle w:val="Tabletext"/>
            </w:pPr>
            <w:r w:rsidRPr="00E57903">
              <w:t>250</w:t>
            </w:r>
            <w:r w:rsidR="00CA7395">
              <w:t xml:space="preserve"> </w:t>
            </w:r>
            <w:r w:rsidRPr="00E57903">
              <w:t>612</w:t>
            </w:r>
          </w:p>
        </w:tc>
        <w:tc>
          <w:tcPr>
            <w:tcW w:w="1276" w:type="dxa"/>
          </w:tcPr>
          <w:p w14:paraId="6A6A10C4" w14:textId="22766734" w:rsidR="000C7D27" w:rsidRPr="00E57903" w:rsidRDefault="000C7D27" w:rsidP="00CF0F45">
            <w:pPr>
              <w:pStyle w:val="Tabletext"/>
            </w:pPr>
            <w:r w:rsidRPr="00E57903">
              <w:t>470</w:t>
            </w:r>
            <w:r w:rsidR="00CA7395">
              <w:t xml:space="preserve"> </w:t>
            </w:r>
            <w:r w:rsidRPr="00E57903">
              <w:t>716</w:t>
            </w:r>
          </w:p>
        </w:tc>
        <w:tc>
          <w:tcPr>
            <w:tcW w:w="1276" w:type="dxa"/>
          </w:tcPr>
          <w:p w14:paraId="02123015" w14:textId="77777777" w:rsidR="000C7D27" w:rsidRPr="00E57903" w:rsidRDefault="000C7D27" w:rsidP="00CF0F45">
            <w:pPr>
              <w:pStyle w:val="Tabletext"/>
            </w:pPr>
            <w:r w:rsidRPr="00E57903">
              <w:t>46.8</w:t>
            </w:r>
          </w:p>
        </w:tc>
      </w:tr>
      <w:tr w:rsidR="000C7D27" w:rsidRPr="00E57903" w14:paraId="1939DA28" w14:textId="77777777" w:rsidTr="00464447">
        <w:tc>
          <w:tcPr>
            <w:tcW w:w="851" w:type="dxa"/>
          </w:tcPr>
          <w:p w14:paraId="2A2D468D" w14:textId="77777777" w:rsidR="000C7D27" w:rsidRPr="00E57903" w:rsidRDefault="000C7D27" w:rsidP="00CF0F45">
            <w:pPr>
              <w:pStyle w:val="Tabletext"/>
            </w:pPr>
            <w:r w:rsidRPr="00E57903">
              <w:t>2011</w:t>
            </w:r>
          </w:p>
        </w:tc>
        <w:tc>
          <w:tcPr>
            <w:tcW w:w="1559" w:type="dxa"/>
          </w:tcPr>
          <w:p w14:paraId="25F85176" w14:textId="72E757FD" w:rsidR="000C7D27" w:rsidRPr="00E57903" w:rsidRDefault="000C7D27" w:rsidP="00CF0F45">
            <w:pPr>
              <w:pStyle w:val="Tabletext"/>
            </w:pPr>
            <w:r w:rsidRPr="00E57903">
              <w:t>226</w:t>
            </w:r>
            <w:r w:rsidR="00CA7395">
              <w:t xml:space="preserve"> </w:t>
            </w:r>
            <w:r w:rsidRPr="00E57903">
              <w:t>837</w:t>
            </w:r>
          </w:p>
        </w:tc>
        <w:tc>
          <w:tcPr>
            <w:tcW w:w="1418" w:type="dxa"/>
          </w:tcPr>
          <w:p w14:paraId="4259E539" w14:textId="29C62A37" w:rsidR="000C7D27" w:rsidRPr="00E57903" w:rsidRDefault="000C7D27" w:rsidP="00CF0F45">
            <w:pPr>
              <w:pStyle w:val="Tabletext"/>
            </w:pPr>
            <w:r w:rsidRPr="00E57903">
              <w:t>142</w:t>
            </w:r>
            <w:r w:rsidR="00CA7395">
              <w:t xml:space="preserve"> </w:t>
            </w:r>
            <w:r w:rsidRPr="00E57903">
              <w:t>374</w:t>
            </w:r>
          </w:p>
        </w:tc>
        <w:tc>
          <w:tcPr>
            <w:tcW w:w="1276" w:type="dxa"/>
          </w:tcPr>
          <w:p w14:paraId="0DBB8EE1" w14:textId="5D80CD85" w:rsidR="000C7D27" w:rsidRPr="00E57903" w:rsidRDefault="000C7D27" w:rsidP="00CF0F45">
            <w:pPr>
              <w:pStyle w:val="Tabletext"/>
            </w:pPr>
            <w:r w:rsidRPr="00E57903">
              <w:t>142</w:t>
            </w:r>
            <w:r w:rsidR="00CA7395">
              <w:t xml:space="preserve"> </w:t>
            </w:r>
            <w:r w:rsidRPr="00E57903">
              <w:t>869</w:t>
            </w:r>
          </w:p>
        </w:tc>
        <w:tc>
          <w:tcPr>
            <w:tcW w:w="1276" w:type="dxa"/>
          </w:tcPr>
          <w:p w14:paraId="6F65190A" w14:textId="27F85F1A" w:rsidR="000C7D27" w:rsidRPr="00E57903" w:rsidRDefault="000C7D27" w:rsidP="00CF0F45">
            <w:pPr>
              <w:pStyle w:val="Tabletext"/>
            </w:pPr>
            <w:r w:rsidRPr="00E57903">
              <w:t>285</w:t>
            </w:r>
            <w:r w:rsidR="00CA7395">
              <w:t xml:space="preserve"> </w:t>
            </w:r>
            <w:r w:rsidRPr="00E57903">
              <w:t>243</w:t>
            </w:r>
          </w:p>
        </w:tc>
        <w:tc>
          <w:tcPr>
            <w:tcW w:w="1276" w:type="dxa"/>
          </w:tcPr>
          <w:p w14:paraId="147E8388" w14:textId="69D3138B" w:rsidR="000C7D27" w:rsidRPr="00E57903" w:rsidRDefault="000C7D27" w:rsidP="00CF0F45">
            <w:pPr>
              <w:pStyle w:val="Tabletext"/>
            </w:pPr>
            <w:r w:rsidRPr="00E57903">
              <w:t>512</w:t>
            </w:r>
            <w:r w:rsidR="00CA7395">
              <w:t xml:space="preserve"> </w:t>
            </w:r>
            <w:r w:rsidRPr="00E57903">
              <w:t>080</w:t>
            </w:r>
          </w:p>
        </w:tc>
        <w:tc>
          <w:tcPr>
            <w:tcW w:w="1276" w:type="dxa"/>
          </w:tcPr>
          <w:p w14:paraId="5488A54A" w14:textId="77777777" w:rsidR="000C7D27" w:rsidRPr="00E57903" w:rsidRDefault="000C7D27" w:rsidP="00CF0F45">
            <w:pPr>
              <w:pStyle w:val="Tabletext"/>
            </w:pPr>
            <w:r w:rsidRPr="00E57903">
              <w:t>44.3</w:t>
            </w:r>
          </w:p>
        </w:tc>
      </w:tr>
      <w:tr w:rsidR="000C7D27" w:rsidRPr="00E57903" w14:paraId="6C28C898" w14:textId="77777777" w:rsidTr="00464447">
        <w:tc>
          <w:tcPr>
            <w:tcW w:w="851" w:type="dxa"/>
          </w:tcPr>
          <w:p w14:paraId="5B72F4F0" w14:textId="77777777" w:rsidR="000C7D27" w:rsidRPr="00E57903" w:rsidRDefault="000C7D27" w:rsidP="00CF0F45">
            <w:pPr>
              <w:pStyle w:val="Tabletext"/>
            </w:pPr>
            <w:r w:rsidRPr="00E57903">
              <w:t>2012</w:t>
            </w:r>
          </w:p>
        </w:tc>
        <w:tc>
          <w:tcPr>
            <w:tcW w:w="1559" w:type="dxa"/>
          </w:tcPr>
          <w:p w14:paraId="642B952B" w14:textId="7F04FCD7" w:rsidR="000C7D27" w:rsidRPr="00E57903" w:rsidRDefault="000C7D27" w:rsidP="00CF0F45">
            <w:pPr>
              <w:pStyle w:val="Tabletext"/>
            </w:pPr>
            <w:r w:rsidRPr="00E57903">
              <w:t>248</w:t>
            </w:r>
            <w:r w:rsidR="00CA7395">
              <w:t xml:space="preserve"> </w:t>
            </w:r>
            <w:r w:rsidRPr="00E57903">
              <w:t>510</w:t>
            </w:r>
          </w:p>
        </w:tc>
        <w:tc>
          <w:tcPr>
            <w:tcW w:w="1418" w:type="dxa"/>
          </w:tcPr>
          <w:p w14:paraId="770687BB" w14:textId="26A80DA4" w:rsidR="000C7D27" w:rsidRPr="00E57903" w:rsidRDefault="000C7D27" w:rsidP="00CF0F45">
            <w:pPr>
              <w:pStyle w:val="Tabletext"/>
            </w:pPr>
            <w:r w:rsidRPr="00E57903">
              <w:t>143</w:t>
            </w:r>
            <w:r w:rsidR="00CA7395">
              <w:t xml:space="preserve"> </w:t>
            </w:r>
            <w:r w:rsidRPr="00E57903">
              <w:t>679</w:t>
            </w:r>
          </w:p>
        </w:tc>
        <w:tc>
          <w:tcPr>
            <w:tcW w:w="1276" w:type="dxa"/>
          </w:tcPr>
          <w:p w14:paraId="50920D77" w14:textId="23A46168" w:rsidR="000C7D27" w:rsidRPr="00E57903" w:rsidRDefault="000C7D27" w:rsidP="00CF0F45">
            <w:pPr>
              <w:pStyle w:val="Tabletext"/>
            </w:pPr>
            <w:r w:rsidRPr="00E57903">
              <w:t>154</w:t>
            </w:r>
            <w:r w:rsidR="00CA7395">
              <w:t xml:space="preserve"> </w:t>
            </w:r>
            <w:r w:rsidRPr="00E57903">
              <w:t>179</w:t>
            </w:r>
          </w:p>
        </w:tc>
        <w:tc>
          <w:tcPr>
            <w:tcW w:w="1276" w:type="dxa"/>
          </w:tcPr>
          <w:p w14:paraId="0E1B63E0" w14:textId="78874577" w:rsidR="000C7D27" w:rsidRPr="00E57903" w:rsidRDefault="000C7D27" w:rsidP="00CF0F45">
            <w:pPr>
              <w:pStyle w:val="Tabletext"/>
            </w:pPr>
            <w:r w:rsidRPr="00E57903">
              <w:t>297</w:t>
            </w:r>
            <w:r w:rsidR="00CA7395">
              <w:t xml:space="preserve"> </w:t>
            </w:r>
            <w:r w:rsidRPr="00E57903">
              <w:t>858</w:t>
            </w:r>
          </w:p>
        </w:tc>
        <w:tc>
          <w:tcPr>
            <w:tcW w:w="1276" w:type="dxa"/>
          </w:tcPr>
          <w:p w14:paraId="4BD35374" w14:textId="16E5E825" w:rsidR="000C7D27" w:rsidRPr="00E57903" w:rsidRDefault="000C7D27" w:rsidP="00CF0F45">
            <w:pPr>
              <w:pStyle w:val="Tabletext"/>
            </w:pPr>
            <w:r w:rsidRPr="00E57903">
              <w:t>546</w:t>
            </w:r>
            <w:r w:rsidR="00CA7395">
              <w:t xml:space="preserve"> </w:t>
            </w:r>
            <w:r w:rsidRPr="00E57903">
              <w:t>368</w:t>
            </w:r>
          </w:p>
        </w:tc>
        <w:tc>
          <w:tcPr>
            <w:tcW w:w="1276" w:type="dxa"/>
          </w:tcPr>
          <w:p w14:paraId="05356322" w14:textId="77777777" w:rsidR="000C7D27" w:rsidRPr="00E57903" w:rsidRDefault="000C7D27" w:rsidP="00CF0F45">
            <w:pPr>
              <w:pStyle w:val="Tabletext"/>
            </w:pPr>
            <w:r w:rsidRPr="00E57903">
              <w:t>45.5</w:t>
            </w:r>
          </w:p>
        </w:tc>
      </w:tr>
      <w:tr w:rsidR="000C7D27" w:rsidRPr="00E57903" w14:paraId="57304D3F" w14:textId="77777777" w:rsidTr="00464447">
        <w:tc>
          <w:tcPr>
            <w:tcW w:w="851" w:type="dxa"/>
          </w:tcPr>
          <w:p w14:paraId="73A466BA" w14:textId="77777777" w:rsidR="000C7D27" w:rsidRPr="00E57903" w:rsidRDefault="000C7D27" w:rsidP="00CF0F45">
            <w:pPr>
              <w:pStyle w:val="Tabletext"/>
            </w:pPr>
            <w:r w:rsidRPr="00E57903">
              <w:t>2013</w:t>
            </w:r>
          </w:p>
        </w:tc>
        <w:tc>
          <w:tcPr>
            <w:tcW w:w="1559" w:type="dxa"/>
          </w:tcPr>
          <w:p w14:paraId="0505E2FD" w14:textId="00136761" w:rsidR="000C7D27" w:rsidRPr="00E57903" w:rsidRDefault="000C7D27" w:rsidP="00CF0F45">
            <w:pPr>
              <w:pStyle w:val="Tabletext"/>
            </w:pPr>
            <w:r w:rsidRPr="00E57903">
              <w:t>263</w:t>
            </w:r>
            <w:r w:rsidR="00CA7395">
              <w:t xml:space="preserve"> </w:t>
            </w:r>
            <w:r w:rsidRPr="00E57903">
              <w:t>073</w:t>
            </w:r>
          </w:p>
        </w:tc>
        <w:tc>
          <w:tcPr>
            <w:tcW w:w="1418" w:type="dxa"/>
          </w:tcPr>
          <w:p w14:paraId="4DE1A94D" w14:textId="7DCC1691" w:rsidR="000C7D27" w:rsidRPr="00E57903" w:rsidRDefault="000C7D27" w:rsidP="00CF0F45">
            <w:pPr>
              <w:pStyle w:val="Tabletext"/>
            </w:pPr>
            <w:r w:rsidRPr="00E57903">
              <w:t>136</w:t>
            </w:r>
            <w:r w:rsidR="00CA7395">
              <w:t xml:space="preserve"> </w:t>
            </w:r>
            <w:r w:rsidRPr="00E57903">
              <w:t>986</w:t>
            </w:r>
          </w:p>
        </w:tc>
        <w:tc>
          <w:tcPr>
            <w:tcW w:w="1276" w:type="dxa"/>
          </w:tcPr>
          <w:p w14:paraId="6528BAF3" w14:textId="00DF8266" w:rsidR="000C7D27" w:rsidRPr="00E57903" w:rsidRDefault="000C7D27" w:rsidP="00CF0F45">
            <w:pPr>
              <w:pStyle w:val="Tabletext"/>
            </w:pPr>
            <w:r w:rsidRPr="00E57903">
              <w:t>159</w:t>
            </w:r>
            <w:r w:rsidR="00CA7395">
              <w:t xml:space="preserve"> </w:t>
            </w:r>
            <w:r w:rsidRPr="00E57903">
              <w:t>200</w:t>
            </w:r>
          </w:p>
        </w:tc>
        <w:tc>
          <w:tcPr>
            <w:tcW w:w="1276" w:type="dxa"/>
          </w:tcPr>
          <w:p w14:paraId="6698DD28" w14:textId="3FFDF13B" w:rsidR="000C7D27" w:rsidRPr="00E57903" w:rsidRDefault="000C7D27" w:rsidP="00CF0F45">
            <w:pPr>
              <w:pStyle w:val="Tabletext"/>
            </w:pPr>
            <w:r w:rsidRPr="00E57903">
              <w:t>296</w:t>
            </w:r>
            <w:r w:rsidR="00CA7395">
              <w:t xml:space="preserve"> </w:t>
            </w:r>
            <w:r w:rsidRPr="00E57903">
              <w:t>186</w:t>
            </w:r>
          </w:p>
        </w:tc>
        <w:tc>
          <w:tcPr>
            <w:tcW w:w="1276" w:type="dxa"/>
          </w:tcPr>
          <w:p w14:paraId="1169426B" w14:textId="13AFA11E" w:rsidR="000C7D27" w:rsidRPr="00E57903" w:rsidRDefault="000C7D27" w:rsidP="00CF0F45">
            <w:pPr>
              <w:pStyle w:val="Tabletext"/>
            </w:pPr>
            <w:r w:rsidRPr="00E57903">
              <w:t>559</w:t>
            </w:r>
            <w:r w:rsidR="00CA7395">
              <w:t xml:space="preserve"> </w:t>
            </w:r>
            <w:r w:rsidRPr="00E57903">
              <w:t>259</w:t>
            </w:r>
          </w:p>
        </w:tc>
        <w:tc>
          <w:tcPr>
            <w:tcW w:w="1276" w:type="dxa"/>
          </w:tcPr>
          <w:p w14:paraId="0E25B227" w14:textId="77777777" w:rsidR="000C7D27" w:rsidRPr="00E57903" w:rsidRDefault="000C7D27" w:rsidP="00CF0F45">
            <w:pPr>
              <w:pStyle w:val="Tabletext"/>
            </w:pPr>
            <w:r w:rsidRPr="00E57903">
              <w:t>47.0</w:t>
            </w:r>
          </w:p>
        </w:tc>
      </w:tr>
      <w:tr w:rsidR="000C7D27" w:rsidRPr="00E57903" w14:paraId="0C4B7B83" w14:textId="77777777" w:rsidTr="00464447">
        <w:tc>
          <w:tcPr>
            <w:tcW w:w="851" w:type="dxa"/>
          </w:tcPr>
          <w:p w14:paraId="731043DF" w14:textId="77777777" w:rsidR="000C7D27" w:rsidRPr="00E57903" w:rsidRDefault="000C7D27" w:rsidP="00CF0F45">
            <w:pPr>
              <w:pStyle w:val="Tabletext"/>
            </w:pPr>
            <w:r w:rsidRPr="00E57903">
              <w:t>2014</w:t>
            </w:r>
          </w:p>
        </w:tc>
        <w:tc>
          <w:tcPr>
            <w:tcW w:w="1559" w:type="dxa"/>
          </w:tcPr>
          <w:p w14:paraId="5208C7FC" w14:textId="2FCBB133" w:rsidR="000C7D27" w:rsidRPr="00E57903" w:rsidRDefault="000C7D27" w:rsidP="00CF0F45">
            <w:pPr>
              <w:pStyle w:val="Tabletext"/>
            </w:pPr>
            <w:r w:rsidRPr="00E57903">
              <w:t>272</w:t>
            </w:r>
            <w:r w:rsidR="00CA7395">
              <w:t xml:space="preserve"> </w:t>
            </w:r>
            <w:r w:rsidRPr="00E57903">
              <w:t>229</w:t>
            </w:r>
          </w:p>
        </w:tc>
        <w:tc>
          <w:tcPr>
            <w:tcW w:w="1418" w:type="dxa"/>
          </w:tcPr>
          <w:p w14:paraId="35ECDFB2" w14:textId="5D1ADBCA" w:rsidR="000C7D27" w:rsidRPr="00E57903" w:rsidRDefault="000C7D27" w:rsidP="00CF0F45">
            <w:pPr>
              <w:pStyle w:val="Tabletext"/>
            </w:pPr>
            <w:r w:rsidRPr="00E57903">
              <w:t>137</w:t>
            </w:r>
            <w:r w:rsidR="00CA7395">
              <w:t xml:space="preserve"> </w:t>
            </w:r>
            <w:r w:rsidRPr="00E57903">
              <w:t>283</w:t>
            </w:r>
          </w:p>
        </w:tc>
        <w:tc>
          <w:tcPr>
            <w:tcW w:w="1276" w:type="dxa"/>
          </w:tcPr>
          <w:p w14:paraId="5B4E7EA3" w14:textId="679B6E33" w:rsidR="000C7D27" w:rsidRPr="00E57903" w:rsidRDefault="000C7D27" w:rsidP="00CF0F45">
            <w:pPr>
              <w:pStyle w:val="Tabletext"/>
            </w:pPr>
            <w:r w:rsidRPr="00E57903">
              <w:t>161</w:t>
            </w:r>
            <w:r w:rsidR="00CA7395">
              <w:t xml:space="preserve"> </w:t>
            </w:r>
            <w:r w:rsidRPr="00E57903">
              <w:t>179</w:t>
            </w:r>
          </w:p>
        </w:tc>
        <w:tc>
          <w:tcPr>
            <w:tcW w:w="1276" w:type="dxa"/>
          </w:tcPr>
          <w:p w14:paraId="6D5D1E49" w14:textId="162E517F" w:rsidR="000C7D27" w:rsidRPr="00E57903" w:rsidRDefault="000C7D27" w:rsidP="00CF0F45">
            <w:pPr>
              <w:pStyle w:val="Tabletext"/>
            </w:pPr>
            <w:r w:rsidRPr="00E57903">
              <w:t>298</w:t>
            </w:r>
            <w:r w:rsidR="00CA7395">
              <w:t xml:space="preserve"> </w:t>
            </w:r>
            <w:r w:rsidRPr="00E57903">
              <w:t>462</w:t>
            </w:r>
          </w:p>
        </w:tc>
        <w:tc>
          <w:tcPr>
            <w:tcW w:w="1276" w:type="dxa"/>
          </w:tcPr>
          <w:p w14:paraId="285FC604" w14:textId="6FB61D26" w:rsidR="000C7D27" w:rsidRPr="00E57903" w:rsidRDefault="000C7D27" w:rsidP="00CF0F45">
            <w:pPr>
              <w:pStyle w:val="Tabletext"/>
            </w:pPr>
            <w:r w:rsidRPr="00E57903">
              <w:t>570</w:t>
            </w:r>
            <w:r w:rsidR="00CA7395">
              <w:t xml:space="preserve"> </w:t>
            </w:r>
            <w:r w:rsidRPr="00E57903">
              <w:t>691</w:t>
            </w:r>
          </w:p>
        </w:tc>
        <w:tc>
          <w:tcPr>
            <w:tcW w:w="1276" w:type="dxa"/>
          </w:tcPr>
          <w:p w14:paraId="7D3C45B7" w14:textId="77777777" w:rsidR="000C7D27" w:rsidRPr="00E57903" w:rsidRDefault="000C7D27" w:rsidP="00CF0F45">
            <w:pPr>
              <w:pStyle w:val="Tabletext"/>
            </w:pPr>
            <w:r w:rsidRPr="00E57903">
              <w:t>47.7</w:t>
            </w:r>
          </w:p>
        </w:tc>
      </w:tr>
      <w:tr w:rsidR="000C7D27" w:rsidRPr="00E57903" w14:paraId="18A1A091" w14:textId="77777777" w:rsidTr="00464447">
        <w:tc>
          <w:tcPr>
            <w:tcW w:w="851" w:type="dxa"/>
          </w:tcPr>
          <w:p w14:paraId="46CE1825" w14:textId="77777777" w:rsidR="000C7D27" w:rsidRPr="00E57903" w:rsidRDefault="000C7D27" w:rsidP="00CF0F45">
            <w:pPr>
              <w:pStyle w:val="Tabletext"/>
            </w:pPr>
            <w:r w:rsidRPr="00E57903">
              <w:t>2015</w:t>
            </w:r>
          </w:p>
        </w:tc>
        <w:tc>
          <w:tcPr>
            <w:tcW w:w="1559" w:type="dxa"/>
          </w:tcPr>
          <w:p w14:paraId="6B812F30" w14:textId="395F360C" w:rsidR="000C7D27" w:rsidRPr="00E57903" w:rsidRDefault="000C7D27" w:rsidP="00CF0F45">
            <w:pPr>
              <w:pStyle w:val="Tabletext"/>
            </w:pPr>
            <w:r w:rsidRPr="00E57903">
              <w:t>276</w:t>
            </w:r>
            <w:r w:rsidR="00CA7395">
              <w:t xml:space="preserve"> </w:t>
            </w:r>
            <w:r w:rsidRPr="00E57903">
              <w:t>234</w:t>
            </w:r>
          </w:p>
        </w:tc>
        <w:tc>
          <w:tcPr>
            <w:tcW w:w="1418" w:type="dxa"/>
          </w:tcPr>
          <w:p w14:paraId="55FC25EB" w14:textId="79ED8E89" w:rsidR="000C7D27" w:rsidRPr="00E57903" w:rsidRDefault="000C7D27" w:rsidP="00CF0F45">
            <w:pPr>
              <w:pStyle w:val="Tabletext"/>
            </w:pPr>
            <w:r w:rsidRPr="00E57903">
              <w:t>117</w:t>
            </w:r>
            <w:r w:rsidR="00CA7395">
              <w:t xml:space="preserve"> </w:t>
            </w:r>
            <w:r w:rsidRPr="00E57903">
              <w:t>120</w:t>
            </w:r>
          </w:p>
        </w:tc>
        <w:tc>
          <w:tcPr>
            <w:tcW w:w="1276" w:type="dxa"/>
          </w:tcPr>
          <w:p w14:paraId="45478E59" w14:textId="20F014F1" w:rsidR="000C7D27" w:rsidRPr="00E57903" w:rsidRDefault="000C7D27" w:rsidP="00CF0F45">
            <w:pPr>
              <w:pStyle w:val="Tabletext"/>
            </w:pPr>
            <w:r w:rsidRPr="00E57903">
              <w:t>134</w:t>
            </w:r>
            <w:r w:rsidR="00CA7395">
              <w:t xml:space="preserve"> </w:t>
            </w:r>
            <w:r w:rsidRPr="00E57903">
              <w:t>950</w:t>
            </w:r>
          </w:p>
        </w:tc>
        <w:tc>
          <w:tcPr>
            <w:tcW w:w="1276" w:type="dxa"/>
          </w:tcPr>
          <w:p w14:paraId="652CCE56" w14:textId="2AE411AB" w:rsidR="000C7D27" w:rsidRPr="00E57903" w:rsidRDefault="000C7D27" w:rsidP="00CF0F45">
            <w:pPr>
              <w:pStyle w:val="Tabletext"/>
            </w:pPr>
            <w:r w:rsidRPr="00E57903">
              <w:t>252</w:t>
            </w:r>
            <w:r w:rsidR="00CA7395">
              <w:t xml:space="preserve"> </w:t>
            </w:r>
            <w:r w:rsidRPr="00E57903">
              <w:t>070</w:t>
            </w:r>
          </w:p>
        </w:tc>
        <w:tc>
          <w:tcPr>
            <w:tcW w:w="1276" w:type="dxa"/>
          </w:tcPr>
          <w:p w14:paraId="02F4A990" w14:textId="5BB96086" w:rsidR="000C7D27" w:rsidRPr="00E57903" w:rsidRDefault="000C7D27" w:rsidP="00CF0F45">
            <w:pPr>
              <w:pStyle w:val="Tabletext"/>
            </w:pPr>
            <w:r w:rsidRPr="00E57903">
              <w:t>528</w:t>
            </w:r>
            <w:r w:rsidR="00CA7395">
              <w:t xml:space="preserve"> </w:t>
            </w:r>
            <w:r w:rsidRPr="00E57903">
              <w:t>304</w:t>
            </w:r>
          </w:p>
        </w:tc>
        <w:tc>
          <w:tcPr>
            <w:tcW w:w="1276" w:type="dxa"/>
          </w:tcPr>
          <w:p w14:paraId="7F19B780" w14:textId="77777777" w:rsidR="000C7D27" w:rsidRPr="00E57903" w:rsidRDefault="000C7D27" w:rsidP="00CF0F45">
            <w:pPr>
              <w:pStyle w:val="Tabletext"/>
            </w:pPr>
            <w:r w:rsidRPr="00E57903">
              <w:t>52.3</w:t>
            </w:r>
          </w:p>
        </w:tc>
      </w:tr>
      <w:tr w:rsidR="000C7D27" w:rsidRPr="00E57903" w14:paraId="06013AB0" w14:textId="77777777" w:rsidTr="00464447">
        <w:tc>
          <w:tcPr>
            <w:tcW w:w="851" w:type="dxa"/>
            <w:tcBorders>
              <w:bottom w:val="single" w:sz="4" w:space="0" w:color="auto"/>
            </w:tcBorders>
          </w:tcPr>
          <w:p w14:paraId="0B9996D9" w14:textId="77777777" w:rsidR="000C7D27" w:rsidRPr="00E57903" w:rsidRDefault="000C7D27" w:rsidP="00CF0F45">
            <w:pPr>
              <w:pStyle w:val="Tabletext"/>
            </w:pPr>
            <w:r w:rsidRPr="00E57903">
              <w:t>2016</w:t>
            </w:r>
          </w:p>
        </w:tc>
        <w:tc>
          <w:tcPr>
            <w:tcW w:w="1559" w:type="dxa"/>
            <w:tcBorders>
              <w:bottom w:val="single" w:sz="4" w:space="0" w:color="auto"/>
            </w:tcBorders>
          </w:tcPr>
          <w:p w14:paraId="1E3CB0D7" w14:textId="6551164A" w:rsidR="000C7D27" w:rsidRPr="00E57903" w:rsidRDefault="000C7D27" w:rsidP="00CF0F45">
            <w:pPr>
              <w:pStyle w:val="Tabletext"/>
            </w:pPr>
            <w:r w:rsidRPr="00E57903">
              <w:t>281</w:t>
            </w:r>
            <w:r w:rsidR="00CA7395">
              <w:t xml:space="preserve"> </w:t>
            </w:r>
            <w:r w:rsidRPr="00E57903">
              <w:t>389</w:t>
            </w:r>
          </w:p>
        </w:tc>
        <w:tc>
          <w:tcPr>
            <w:tcW w:w="1418" w:type="dxa"/>
            <w:tcBorders>
              <w:bottom w:val="single" w:sz="4" w:space="0" w:color="auto"/>
            </w:tcBorders>
          </w:tcPr>
          <w:p w14:paraId="1958EFD1" w14:textId="7F021AD7" w:rsidR="000C7D27" w:rsidRPr="00E57903" w:rsidRDefault="000C7D27" w:rsidP="00CF0F45">
            <w:pPr>
              <w:pStyle w:val="Tabletext"/>
            </w:pPr>
            <w:r w:rsidRPr="00E57903">
              <w:t>113</w:t>
            </w:r>
            <w:r w:rsidR="00CA7395">
              <w:t xml:space="preserve"> </w:t>
            </w:r>
            <w:r w:rsidRPr="00E57903">
              <w:t>038</w:t>
            </w:r>
          </w:p>
        </w:tc>
        <w:tc>
          <w:tcPr>
            <w:tcW w:w="1276" w:type="dxa"/>
            <w:tcBorders>
              <w:bottom w:val="single" w:sz="4" w:space="0" w:color="auto"/>
            </w:tcBorders>
          </w:tcPr>
          <w:p w14:paraId="03F4D1E3" w14:textId="07A7D4E0" w:rsidR="000C7D27" w:rsidRPr="00E57903" w:rsidRDefault="000C7D27" w:rsidP="00CF0F45">
            <w:pPr>
              <w:pStyle w:val="Tabletext"/>
            </w:pPr>
            <w:r w:rsidRPr="00E57903">
              <w:t>137</w:t>
            </w:r>
            <w:r w:rsidR="00CA7395">
              <w:t xml:space="preserve"> </w:t>
            </w:r>
            <w:r w:rsidRPr="00E57903">
              <w:t>064</w:t>
            </w:r>
          </w:p>
        </w:tc>
        <w:tc>
          <w:tcPr>
            <w:tcW w:w="1276" w:type="dxa"/>
            <w:tcBorders>
              <w:bottom w:val="single" w:sz="4" w:space="0" w:color="auto"/>
            </w:tcBorders>
          </w:tcPr>
          <w:p w14:paraId="6224A457" w14:textId="1C2E7D70" w:rsidR="000C7D27" w:rsidRPr="00E57903" w:rsidRDefault="000C7D27" w:rsidP="00CF0F45">
            <w:pPr>
              <w:pStyle w:val="Tabletext"/>
            </w:pPr>
            <w:r w:rsidRPr="00E57903">
              <w:t>250</w:t>
            </w:r>
            <w:r w:rsidR="00CA7395">
              <w:t xml:space="preserve"> </w:t>
            </w:r>
            <w:r w:rsidRPr="00E57903">
              <w:t>102</w:t>
            </w:r>
          </w:p>
        </w:tc>
        <w:tc>
          <w:tcPr>
            <w:tcW w:w="1276" w:type="dxa"/>
            <w:tcBorders>
              <w:bottom w:val="single" w:sz="4" w:space="0" w:color="auto"/>
            </w:tcBorders>
          </w:tcPr>
          <w:p w14:paraId="32C18442" w14:textId="344F1597" w:rsidR="000C7D27" w:rsidRPr="00E57903" w:rsidRDefault="000C7D27" w:rsidP="00CF0F45">
            <w:pPr>
              <w:pStyle w:val="Tabletext"/>
            </w:pPr>
            <w:r w:rsidRPr="00E57903">
              <w:t>531</w:t>
            </w:r>
            <w:r w:rsidR="00CA7395">
              <w:t xml:space="preserve"> </w:t>
            </w:r>
            <w:r w:rsidRPr="00E57903">
              <w:t>491</w:t>
            </w:r>
          </w:p>
        </w:tc>
        <w:tc>
          <w:tcPr>
            <w:tcW w:w="1276" w:type="dxa"/>
            <w:tcBorders>
              <w:bottom w:val="single" w:sz="4" w:space="0" w:color="auto"/>
            </w:tcBorders>
          </w:tcPr>
          <w:p w14:paraId="44FBABF9" w14:textId="77777777" w:rsidR="000C7D27" w:rsidRPr="00E57903" w:rsidRDefault="000C7D27" w:rsidP="00CF0F45">
            <w:pPr>
              <w:pStyle w:val="Tabletext"/>
            </w:pPr>
            <w:r w:rsidRPr="00E57903">
              <w:t>52.9</w:t>
            </w:r>
          </w:p>
        </w:tc>
      </w:tr>
    </w:tbl>
    <w:p w14:paraId="7835337F" w14:textId="18D191BE" w:rsidR="000C7D27" w:rsidRPr="00B07E57" w:rsidRDefault="000C7D27" w:rsidP="00B07E57">
      <w:pPr>
        <w:pStyle w:val="Source"/>
        <w:ind w:left="0" w:firstLine="0"/>
      </w:pPr>
      <w:r w:rsidRPr="00CF0F45">
        <w:t>Sources</w:t>
      </w:r>
      <w:r w:rsidR="000778EE">
        <w:t xml:space="preserve">: </w:t>
      </w:r>
      <w:r w:rsidRPr="00CF0F45">
        <w:t>Domestic undergraduate commencements from Commonwealth Department of Education and Training</w:t>
      </w:r>
      <w:r w:rsidR="002C4886">
        <w:t>,</w:t>
      </w:r>
      <w:r w:rsidRPr="00CF0F45">
        <w:t xml:space="preserve"> Higher Education Statistics</w:t>
      </w:r>
      <w:r w:rsidR="002C4886">
        <w:t>,</w:t>
      </w:r>
      <w:r w:rsidRPr="00CF0F45">
        <w:t xml:space="preserve"> </w:t>
      </w:r>
      <w:r w:rsidR="002C4886">
        <w:t>&lt;</w:t>
      </w:r>
      <w:r w:rsidR="00CF0F45" w:rsidRPr="00CF0F45">
        <w:rPr>
          <w:rStyle w:val="Hyperlink"/>
          <w:rFonts w:ascii="Arial" w:hAnsi="Arial"/>
          <w:sz w:val="15"/>
        </w:rPr>
        <w:t>https://www.education.gov.au/higher-education-statistics</w:t>
      </w:r>
      <w:r w:rsidR="002C4886">
        <w:rPr>
          <w:rStyle w:val="Hyperlink"/>
          <w:rFonts w:ascii="Arial" w:hAnsi="Arial"/>
          <w:sz w:val="15"/>
        </w:rPr>
        <w:t>&gt;;</w:t>
      </w:r>
      <w:r w:rsidR="002C4886">
        <w:t xml:space="preserve"> n</w:t>
      </w:r>
      <w:r w:rsidRPr="00CF0F45">
        <w:t xml:space="preserve">on-apprenticeship commencements, which exclude students at school, </w:t>
      </w:r>
      <w:r w:rsidRPr="00B07E57">
        <w:t>are sourced from VOCSTATS</w:t>
      </w:r>
      <w:r w:rsidR="002C4886">
        <w:t>, viewed 14 December 2018,</w:t>
      </w:r>
      <w:r w:rsidRPr="00B07E57">
        <w:t xml:space="preserve"> </w:t>
      </w:r>
      <w:r w:rsidR="002C4886">
        <w:t>&lt;</w:t>
      </w:r>
      <w:r w:rsidR="00CF0F45" w:rsidRPr="00B07E57">
        <w:rPr>
          <w:rStyle w:val="Hyperlink"/>
          <w:rFonts w:ascii="Arial" w:hAnsi="Arial"/>
          <w:sz w:val="15"/>
        </w:rPr>
        <w:t>http://www.ncver.edu.au/resources/vocstats.html</w:t>
      </w:r>
      <w:r w:rsidR="002C4886">
        <w:t>&gt;</w:t>
      </w:r>
      <w:r w:rsidRPr="00B07E57">
        <w:t>.</w:t>
      </w:r>
    </w:p>
    <w:p w14:paraId="2C058CDE" w14:textId="3A69354E" w:rsidR="000C7D27" w:rsidRDefault="000C7D27" w:rsidP="00CF0F45">
      <w:pPr>
        <w:pStyle w:val="Text"/>
        <w:rPr>
          <w:lang w:eastAsia="en-AU"/>
        </w:rPr>
      </w:pPr>
      <w:r>
        <w:rPr>
          <w:lang w:eastAsia="en-AU"/>
        </w:rPr>
        <w:t>The ramifications of the Bradley review policy changes have included substantial increases in higher education enrolments. Enrolments of domestic undergraduate students in bachelor</w:t>
      </w:r>
      <w:r w:rsidR="0009249E">
        <w:rPr>
          <w:lang w:eastAsia="en-AU"/>
        </w:rPr>
        <w:t>’s</w:t>
      </w:r>
      <w:r>
        <w:rPr>
          <w:lang w:eastAsia="en-AU"/>
        </w:rPr>
        <w:t xml:space="preserve"> degree programs, along with non-apprenticeship VET enrolments by age group</w:t>
      </w:r>
      <w:r w:rsidR="00130BF1">
        <w:rPr>
          <w:lang w:eastAsia="en-AU"/>
        </w:rPr>
        <w:t>,</w:t>
      </w:r>
      <w:r>
        <w:rPr>
          <w:lang w:eastAsia="en-AU"/>
        </w:rPr>
        <w:t xml:space="preserve"> are shown in </w:t>
      </w:r>
      <w:r w:rsidR="00053DDD">
        <w:rPr>
          <w:lang w:eastAsia="en-AU"/>
        </w:rPr>
        <w:t>t</w:t>
      </w:r>
      <w:r>
        <w:rPr>
          <w:lang w:eastAsia="en-AU"/>
        </w:rPr>
        <w:t xml:space="preserve">able </w:t>
      </w:r>
      <w:r w:rsidR="00630539">
        <w:rPr>
          <w:lang w:eastAsia="en-AU"/>
        </w:rPr>
        <w:t>11</w:t>
      </w:r>
      <w:r>
        <w:rPr>
          <w:lang w:eastAsia="en-AU"/>
        </w:rPr>
        <w:t xml:space="preserve">. Enrolments of domestic undergraduate students in 2016 represent a 56% increase over the 2006 </w:t>
      </w:r>
      <w:r w:rsidRPr="00732FB8">
        <w:rPr>
          <w:lang w:eastAsia="en-AU"/>
        </w:rPr>
        <w:t>figure</w:t>
      </w:r>
      <w:r w:rsidR="00732FB8">
        <w:rPr>
          <w:lang w:eastAsia="en-AU"/>
        </w:rPr>
        <w:t xml:space="preserve"> </w:t>
      </w:r>
      <w:r w:rsidR="00732FB8" w:rsidRPr="00732FB8">
        <w:rPr>
          <w:rStyle w:val="FootnoteTextChar"/>
          <w:vertAlign w:val="superscript"/>
        </w:rPr>
        <w:footnoteReference w:id="3"/>
      </w:r>
      <w:r w:rsidR="00EE1B68" w:rsidRPr="00732FB8">
        <w:rPr>
          <w:lang w:eastAsia="en-AU"/>
        </w:rPr>
        <w:t>.</w:t>
      </w:r>
      <w:r w:rsidRPr="00732FB8">
        <w:rPr>
          <w:lang w:eastAsia="en-AU"/>
        </w:rPr>
        <w:t xml:space="preserve"> By</w:t>
      </w:r>
      <w:r>
        <w:rPr>
          <w:lang w:eastAsia="en-AU"/>
        </w:rPr>
        <w:t xml:space="preserve"> contrast, the increase in non-apprenticeship VET enrolments over the same period has been just less than 15%</w:t>
      </w:r>
      <w:r w:rsidR="00130BF1">
        <w:rPr>
          <w:lang w:eastAsia="en-AU"/>
        </w:rPr>
        <w:t>,</w:t>
      </w:r>
      <w:r>
        <w:rPr>
          <w:lang w:eastAsia="en-AU"/>
        </w:rPr>
        <w:t xml:space="preserve"> although this lower figure is largely attributable to a decline in non-apprenticeship VET enrolments since 2014. This recent decline may be associated with a tightening of regulatory oversight of VET providers following the exposure of unconscionable conduct by some providers. Over the 2006</w:t>
      </w:r>
      <w:r w:rsidR="00130BF1">
        <w:rPr>
          <w:lang w:eastAsia="en-AU"/>
        </w:rPr>
        <w:t>−</w:t>
      </w:r>
      <w:r>
        <w:rPr>
          <w:lang w:eastAsia="en-AU"/>
        </w:rPr>
        <w:t xml:space="preserve">16 period, Australia’s population of 15 to </w:t>
      </w:r>
      <w:r w:rsidR="00B07E57">
        <w:rPr>
          <w:lang w:eastAsia="en-AU"/>
        </w:rPr>
        <w:t>24-year-olds</w:t>
      </w:r>
      <w:r>
        <w:rPr>
          <w:lang w:eastAsia="en-AU"/>
        </w:rPr>
        <w:t xml:space="preserve"> increased by 8.6%. Thus, the increase in post-secondary enrolments has exceeded population growth over the period, but most especially for higher education enrolments. The final column of </w:t>
      </w:r>
      <w:r w:rsidR="000E2CE6">
        <w:rPr>
          <w:lang w:eastAsia="en-AU"/>
        </w:rPr>
        <w:t>t</w:t>
      </w:r>
      <w:r>
        <w:rPr>
          <w:lang w:eastAsia="en-AU"/>
        </w:rPr>
        <w:t xml:space="preserve">able </w:t>
      </w:r>
      <w:r w:rsidR="00061C61">
        <w:rPr>
          <w:lang w:eastAsia="en-AU"/>
        </w:rPr>
        <w:t xml:space="preserve">11 </w:t>
      </w:r>
      <w:r>
        <w:rPr>
          <w:lang w:eastAsia="en-AU"/>
        </w:rPr>
        <w:t>shows that the higher education share of all post-secondary enrolments has increased over the decade to 2016.</w:t>
      </w:r>
    </w:p>
    <w:p w14:paraId="6BF9F2B1" w14:textId="77777777" w:rsidR="000C7D27" w:rsidRDefault="000C7D27" w:rsidP="000C7D27">
      <w:pPr>
        <w:pStyle w:val="Heading2"/>
        <w:rPr>
          <w:lang w:eastAsia="en-AU"/>
        </w:rPr>
      </w:pPr>
      <w:bookmarkStart w:id="128" w:name="_Toc15048913"/>
      <w:bookmarkStart w:id="129" w:name="_Toc19803926"/>
      <w:r>
        <w:rPr>
          <w:lang w:eastAsia="en-AU"/>
        </w:rPr>
        <w:lastRenderedPageBreak/>
        <w:t>Other influences on post-secondary education and training enrolments</w:t>
      </w:r>
      <w:bookmarkEnd w:id="128"/>
      <w:bookmarkEnd w:id="129"/>
    </w:p>
    <w:p w14:paraId="6EE06C88" w14:textId="6B345A9A" w:rsidR="000C7D27" w:rsidRDefault="000C7D27" w:rsidP="00B07E57">
      <w:pPr>
        <w:pStyle w:val="Text"/>
        <w:rPr>
          <w:lang w:eastAsia="en-AU"/>
        </w:rPr>
      </w:pPr>
      <w:r>
        <w:rPr>
          <w:lang w:eastAsia="en-AU"/>
        </w:rPr>
        <w:t xml:space="preserve">While attention has been directed above at two influences on post-secondary enrolments, many other factors have induced changes in enrolment patterns. There had been a trend to increasing participation in VET in Schools to about 2012, but this participation has declined since that time. The influence of </w:t>
      </w:r>
      <w:r w:rsidR="008E1419">
        <w:rPr>
          <w:lang w:eastAsia="en-AU"/>
        </w:rPr>
        <w:t>VET in Schools</w:t>
      </w:r>
      <w:r>
        <w:rPr>
          <w:lang w:eastAsia="en-AU"/>
        </w:rPr>
        <w:t xml:space="preserve"> on post-school participation in education and training is not clear. It may be a pathway into post-school VET, but equally, it may substitute for it. This matter requires investigation. Clarke and colleagues </w:t>
      </w:r>
      <w:r w:rsidR="004526C8">
        <w:rPr>
          <w:lang w:eastAsia="en-AU"/>
        </w:rPr>
        <w:t xml:space="preserve">at the University of Melbourne </w:t>
      </w:r>
      <w:r>
        <w:rPr>
          <w:lang w:eastAsia="en-AU"/>
        </w:rPr>
        <w:t>did investigate the effects of</w:t>
      </w:r>
      <w:r w:rsidR="00E00167" w:rsidRPr="00E00167">
        <w:rPr>
          <w:lang w:eastAsia="en-AU"/>
        </w:rPr>
        <w:t xml:space="preserve"> </w:t>
      </w:r>
      <w:r w:rsidR="00E00167">
        <w:rPr>
          <w:lang w:eastAsia="en-AU"/>
        </w:rPr>
        <w:t xml:space="preserve">VET in Schools </w:t>
      </w:r>
      <w:r>
        <w:rPr>
          <w:lang w:eastAsia="en-AU"/>
        </w:rPr>
        <w:t>on students and found that, while it does contribute to school retention for students who might otherwise leave before completing senior secondary education, its outcomes are weak (see</w:t>
      </w:r>
      <w:r w:rsidR="0018662D">
        <w:rPr>
          <w:lang w:eastAsia="en-AU"/>
        </w:rPr>
        <w:t xml:space="preserve">, for example, </w:t>
      </w:r>
      <w:r>
        <w:rPr>
          <w:lang w:eastAsia="en-AU"/>
        </w:rPr>
        <w:t xml:space="preserve">Clarke &amp; </w:t>
      </w:r>
      <w:proofErr w:type="spellStart"/>
      <w:r>
        <w:rPr>
          <w:lang w:eastAsia="en-AU"/>
        </w:rPr>
        <w:t>Polesel</w:t>
      </w:r>
      <w:proofErr w:type="spellEnd"/>
      <w:r>
        <w:rPr>
          <w:lang w:eastAsia="en-AU"/>
        </w:rPr>
        <w:t xml:space="preserve"> 2013).</w:t>
      </w:r>
    </w:p>
    <w:p w14:paraId="32B07D8A" w14:textId="7335C265" w:rsidR="000C7D27" w:rsidRDefault="000C7D27" w:rsidP="00B07E57">
      <w:pPr>
        <w:pStyle w:val="Text"/>
        <w:rPr>
          <w:lang w:eastAsia="en-AU"/>
        </w:rPr>
      </w:pPr>
      <w:r>
        <w:rPr>
          <w:lang w:eastAsia="en-AU"/>
        </w:rPr>
        <w:t>Longer</w:t>
      </w:r>
      <w:r w:rsidR="0018662D">
        <w:rPr>
          <w:lang w:eastAsia="en-AU"/>
        </w:rPr>
        <w:t>-</w:t>
      </w:r>
      <w:r>
        <w:rPr>
          <w:lang w:eastAsia="en-AU"/>
        </w:rPr>
        <w:t>term changes in the labour market are also likely to influence demand for post-school education and training. Much attention has been paid recently to the so-called ‘fourth industrial revolution’</w:t>
      </w:r>
      <w:r w:rsidR="0018662D">
        <w:rPr>
          <w:lang w:eastAsia="en-AU"/>
        </w:rPr>
        <w:t>,</w:t>
      </w:r>
      <w:r>
        <w:rPr>
          <w:lang w:eastAsia="en-AU"/>
        </w:rPr>
        <w:t xml:space="preserve"> characterised by the application of robotics and nanotechnologies</w:t>
      </w:r>
      <w:r w:rsidR="00C8177B">
        <w:rPr>
          <w:lang w:eastAsia="en-AU"/>
        </w:rPr>
        <w:t>,</w:t>
      </w:r>
      <w:r>
        <w:rPr>
          <w:lang w:eastAsia="en-AU"/>
        </w:rPr>
        <w:t xml:space="preserve"> among other technologies</w:t>
      </w:r>
      <w:r w:rsidR="00C8177B">
        <w:rPr>
          <w:lang w:eastAsia="en-AU"/>
        </w:rPr>
        <w:t>,</w:t>
      </w:r>
      <w:r>
        <w:rPr>
          <w:lang w:eastAsia="en-AU"/>
        </w:rPr>
        <w:t xml:space="preserve"> and </w:t>
      </w:r>
      <w:r w:rsidR="0018662D">
        <w:rPr>
          <w:lang w:eastAsia="en-AU"/>
        </w:rPr>
        <w:t>which</w:t>
      </w:r>
      <w:r>
        <w:rPr>
          <w:lang w:eastAsia="en-AU"/>
        </w:rPr>
        <w:t xml:space="preserve"> have the potential to be highly disruptive of the means of production and supply of goods and services. The entry of Uber into the taxi industry and more recently into food services had disrupted the business model and employment relationships while destroying pre-existing values and creating new ones. This is the type of relationship that young people experience as they seek to enter the labour market. It is possible that young people’s educational expectations are influenced by such changes. Hillman (2018), using Australian</w:t>
      </w:r>
      <w:r w:rsidR="004B7F6A">
        <w:rPr>
          <w:lang w:eastAsia="en-AU"/>
        </w:rPr>
        <w:t xml:space="preserve"> Programme for International Student Assessment</w:t>
      </w:r>
      <w:r w:rsidR="00BE615A" w:rsidRPr="00CA7395">
        <w:rPr>
          <w:rFonts w:ascii="Times New Roman" w:eastAsia="PracticeBook" w:hAnsi="Times New Roman"/>
          <w:color w:val="12120D"/>
          <w:sz w:val="20"/>
        </w:rPr>
        <w:t xml:space="preserve"> </w:t>
      </w:r>
      <w:r w:rsidR="004B7F6A">
        <w:rPr>
          <w:rFonts w:ascii="Times New Roman" w:eastAsia="PracticeBook" w:hAnsi="Times New Roman"/>
          <w:color w:val="12120D"/>
          <w:sz w:val="20"/>
        </w:rPr>
        <w:t>(</w:t>
      </w:r>
      <w:r>
        <w:rPr>
          <w:lang w:eastAsia="en-AU"/>
        </w:rPr>
        <w:t>PISA</w:t>
      </w:r>
      <w:r w:rsidR="004B7F6A">
        <w:rPr>
          <w:lang w:eastAsia="en-AU"/>
        </w:rPr>
        <w:t>)</w:t>
      </w:r>
      <w:r w:rsidR="00D65831">
        <w:rPr>
          <w:lang w:eastAsia="en-AU"/>
        </w:rPr>
        <w:t xml:space="preserve"> </w:t>
      </w:r>
      <w:r>
        <w:rPr>
          <w:lang w:eastAsia="en-AU"/>
        </w:rPr>
        <w:t>data for 2003, 2009 and 2015, revealed students’ declining expectations for post-school study for both V</w:t>
      </w:r>
      <w:r w:rsidR="005E2336">
        <w:rPr>
          <w:lang w:eastAsia="en-AU"/>
        </w:rPr>
        <w:t>ET</w:t>
      </w:r>
      <w:r>
        <w:rPr>
          <w:lang w:eastAsia="en-AU"/>
        </w:rPr>
        <w:t xml:space="preserve"> and higher education. This finding stands in contrast to the data on increasing observed participation for both non-apprenticeship VET and higher education shown in </w:t>
      </w:r>
      <w:r w:rsidR="00CA7395">
        <w:rPr>
          <w:lang w:eastAsia="en-AU"/>
        </w:rPr>
        <w:t>t</w:t>
      </w:r>
      <w:r>
        <w:rPr>
          <w:lang w:eastAsia="en-AU"/>
        </w:rPr>
        <w:t xml:space="preserve">able </w:t>
      </w:r>
      <w:r w:rsidR="00630539">
        <w:rPr>
          <w:lang w:eastAsia="en-AU"/>
        </w:rPr>
        <w:t>11</w:t>
      </w:r>
      <w:r>
        <w:rPr>
          <w:lang w:eastAsia="en-AU"/>
        </w:rPr>
        <w:t>.</w:t>
      </w:r>
    </w:p>
    <w:p w14:paraId="37CCF2C5" w14:textId="77777777" w:rsidR="000C7D27" w:rsidRDefault="000C7D27" w:rsidP="000C7D27">
      <w:pPr>
        <w:pStyle w:val="Heading2"/>
        <w:rPr>
          <w:lang w:eastAsia="en-AU"/>
        </w:rPr>
      </w:pPr>
      <w:bookmarkStart w:id="130" w:name="_Toc15048914"/>
      <w:bookmarkStart w:id="131" w:name="_Toc19803927"/>
      <w:r>
        <w:rPr>
          <w:lang w:eastAsia="en-AU"/>
        </w:rPr>
        <w:t>Recent trends in inter-sectoral transfers</w:t>
      </w:r>
      <w:bookmarkEnd w:id="130"/>
      <w:bookmarkEnd w:id="131"/>
    </w:p>
    <w:p w14:paraId="4C8A4F06" w14:textId="6C7C2DB4" w:rsidR="000C7D27" w:rsidRDefault="000C7D27" w:rsidP="00B07E57">
      <w:pPr>
        <w:pStyle w:val="Text"/>
        <w:rPr>
          <w:lang w:eastAsia="en-AU"/>
        </w:rPr>
      </w:pPr>
      <w:r>
        <w:rPr>
          <w:lang w:eastAsia="en-AU"/>
        </w:rPr>
        <w:t xml:space="preserve">The modal year for respondents in the Y06 cohort to complete Year 12 was 2009. This was a period when the unemployment rate for young people increased sharply (see </w:t>
      </w:r>
      <w:r w:rsidR="00EF2E7E">
        <w:rPr>
          <w:lang w:eastAsia="en-AU"/>
        </w:rPr>
        <w:t>t</w:t>
      </w:r>
      <w:r>
        <w:rPr>
          <w:lang w:eastAsia="en-AU"/>
        </w:rPr>
        <w:t xml:space="preserve">able </w:t>
      </w:r>
      <w:r w:rsidR="00061C61">
        <w:rPr>
          <w:lang w:eastAsia="en-AU"/>
        </w:rPr>
        <w:t>10</w:t>
      </w:r>
      <w:r>
        <w:rPr>
          <w:lang w:eastAsia="en-AU"/>
        </w:rPr>
        <w:t xml:space="preserve">). This coincided with a downturn in apprenticeship commencements (also shown in </w:t>
      </w:r>
      <w:r w:rsidR="00EF2E7E">
        <w:rPr>
          <w:lang w:eastAsia="en-AU"/>
        </w:rPr>
        <w:t>t</w:t>
      </w:r>
      <w:r>
        <w:rPr>
          <w:lang w:eastAsia="en-AU"/>
        </w:rPr>
        <w:t xml:space="preserve">able </w:t>
      </w:r>
      <w:r w:rsidR="00061C61">
        <w:rPr>
          <w:lang w:eastAsia="en-AU"/>
        </w:rPr>
        <w:t>10</w:t>
      </w:r>
      <w:r>
        <w:rPr>
          <w:lang w:eastAsia="en-AU"/>
        </w:rPr>
        <w:t>). However, it was also a period when enrolments in both</w:t>
      </w:r>
      <w:r w:rsidR="003013D8">
        <w:rPr>
          <w:lang w:eastAsia="en-AU"/>
        </w:rPr>
        <w:t xml:space="preserve"> higher</w:t>
      </w:r>
      <w:r>
        <w:rPr>
          <w:lang w:eastAsia="en-AU"/>
        </w:rPr>
        <w:t xml:space="preserve"> education and in non-apprenticeship VET increased, a trend that continued in the </w:t>
      </w:r>
      <w:r w:rsidR="00332FD8">
        <w:rPr>
          <w:lang w:eastAsia="en-AU"/>
        </w:rPr>
        <w:t xml:space="preserve">VET </w:t>
      </w:r>
      <w:r>
        <w:rPr>
          <w:lang w:eastAsia="en-AU"/>
        </w:rPr>
        <w:t xml:space="preserve">system until 2014, and </w:t>
      </w:r>
      <w:r w:rsidR="00EF2E7E">
        <w:rPr>
          <w:lang w:eastAsia="en-AU"/>
        </w:rPr>
        <w:t>which</w:t>
      </w:r>
      <w:r>
        <w:rPr>
          <w:lang w:eastAsia="en-AU"/>
        </w:rPr>
        <w:t xml:space="preserve"> has continued in higher education (see </w:t>
      </w:r>
      <w:r w:rsidR="00EF2E7E">
        <w:rPr>
          <w:lang w:eastAsia="en-AU"/>
        </w:rPr>
        <w:t>t</w:t>
      </w:r>
      <w:r>
        <w:rPr>
          <w:lang w:eastAsia="en-AU"/>
        </w:rPr>
        <w:t xml:space="preserve">able </w:t>
      </w:r>
      <w:r w:rsidR="00061C61">
        <w:rPr>
          <w:lang w:eastAsia="en-AU"/>
        </w:rPr>
        <w:t>11</w:t>
      </w:r>
      <w:r>
        <w:rPr>
          <w:lang w:eastAsia="en-AU"/>
        </w:rPr>
        <w:t>). What is unclear is whether these trends in participation are reflected in the Y06 cohort and whether they led to any change in inter-sectoral transfers.</w:t>
      </w:r>
    </w:p>
    <w:p w14:paraId="710682C0" w14:textId="6C08F9B9" w:rsidR="000C7D27" w:rsidRPr="00917E63" w:rsidRDefault="000C7D27" w:rsidP="00B07E57">
      <w:pPr>
        <w:pStyle w:val="Text"/>
        <w:rPr>
          <w:lang w:eastAsia="en-AU"/>
        </w:rPr>
      </w:pPr>
      <w:r>
        <w:rPr>
          <w:lang w:eastAsia="en-AU"/>
        </w:rPr>
        <w:t xml:space="preserve">Using data from the LSAY Y06 cohort, the initial post-school destinations of students are shown in </w:t>
      </w:r>
      <w:r w:rsidR="00947629">
        <w:rPr>
          <w:lang w:eastAsia="en-AU"/>
        </w:rPr>
        <w:t>t</w:t>
      </w:r>
      <w:r>
        <w:rPr>
          <w:lang w:eastAsia="en-AU"/>
        </w:rPr>
        <w:t xml:space="preserve">able </w:t>
      </w:r>
      <w:r w:rsidR="00630539">
        <w:rPr>
          <w:lang w:eastAsia="en-AU"/>
        </w:rPr>
        <w:t>12</w:t>
      </w:r>
      <w:r>
        <w:rPr>
          <w:lang w:eastAsia="en-AU"/>
        </w:rPr>
        <w:t>. The relative proportions of students taking V</w:t>
      </w:r>
      <w:r w:rsidR="00947629">
        <w:rPr>
          <w:lang w:eastAsia="en-AU"/>
        </w:rPr>
        <w:t xml:space="preserve">ET </w:t>
      </w:r>
      <w:r>
        <w:rPr>
          <w:lang w:eastAsia="en-AU"/>
        </w:rPr>
        <w:t xml:space="preserve">and higher education programs are consistent with population data presented in </w:t>
      </w:r>
      <w:r w:rsidR="00947629">
        <w:rPr>
          <w:lang w:eastAsia="en-AU"/>
        </w:rPr>
        <w:t>t</w:t>
      </w:r>
      <w:r>
        <w:rPr>
          <w:lang w:eastAsia="en-AU"/>
        </w:rPr>
        <w:t xml:space="preserve">able </w:t>
      </w:r>
      <w:r w:rsidR="00061C61">
        <w:rPr>
          <w:lang w:eastAsia="en-AU"/>
        </w:rPr>
        <w:t>11</w:t>
      </w:r>
      <w:r>
        <w:rPr>
          <w:lang w:eastAsia="en-AU"/>
        </w:rPr>
        <w:t>. Data have been weighted using the original 2006 sampling weights, but weights have not been adjusted for attrition. Attrition is a characteristic of longitudinal data collections and LSAY is no exception. Of the original sample of 14</w:t>
      </w:r>
      <w:r w:rsidR="007D1C51">
        <w:rPr>
          <w:lang w:eastAsia="en-AU"/>
        </w:rPr>
        <w:t xml:space="preserve"> </w:t>
      </w:r>
      <w:r>
        <w:rPr>
          <w:lang w:eastAsia="en-AU"/>
        </w:rPr>
        <w:t>170, by 2009, when most students would have commenced post-school study, 7</w:t>
      </w:r>
      <w:r w:rsidR="00E870EC">
        <w:rPr>
          <w:lang w:eastAsia="en-AU"/>
        </w:rPr>
        <w:t xml:space="preserve"> </w:t>
      </w:r>
      <w:r>
        <w:rPr>
          <w:lang w:eastAsia="en-AU"/>
        </w:rPr>
        <w:t>299 remained and by 2016, the achieved sample had fallen to 3</w:t>
      </w:r>
      <w:r w:rsidR="00EE563F">
        <w:rPr>
          <w:lang w:eastAsia="en-AU"/>
        </w:rPr>
        <w:t xml:space="preserve"> </w:t>
      </w:r>
      <w:r>
        <w:rPr>
          <w:lang w:eastAsia="en-AU"/>
        </w:rPr>
        <w:t xml:space="preserve">343. Because of attrition from the sample, it is likely that some of the participants who left the survey would subsequently undertake some post-school study, so the 8.2% estimate of individuals who did no post-school study is likely to be an overestimate. This compares </w:t>
      </w:r>
      <w:r>
        <w:rPr>
          <w:lang w:eastAsia="en-AU"/>
        </w:rPr>
        <w:lastRenderedPageBreak/>
        <w:t xml:space="preserve">favourably with the 13% of young people in the Y95 cohort who undertook no post-school study (see </w:t>
      </w:r>
      <w:r w:rsidR="00372CB2">
        <w:rPr>
          <w:lang w:eastAsia="en-AU"/>
        </w:rPr>
        <w:t>t</w:t>
      </w:r>
      <w:r>
        <w:rPr>
          <w:lang w:eastAsia="en-AU"/>
        </w:rPr>
        <w:t xml:space="preserve">able </w:t>
      </w:r>
      <w:r w:rsidR="00E36EE2">
        <w:rPr>
          <w:lang w:eastAsia="en-AU"/>
        </w:rPr>
        <w:t>9</w:t>
      </w:r>
      <w:r>
        <w:rPr>
          <w:lang w:eastAsia="en-AU"/>
        </w:rPr>
        <w:t>).</w:t>
      </w:r>
    </w:p>
    <w:p w14:paraId="21D2FD55" w14:textId="641996D5" w:rsidR="000C7D27" w:rsidRDefault="000C7D27" w:rsidP="00366753">
      <w:pPr>
        <w:pStyle w:val="tabletitle0"/>
      </w:pPr>
      <w:bookmarkStart w:id="132" w:name="_Ref533015522"/>
      <w:bookmarkStart w:id="133" w:name="_Toc19001669"/>
      <w:r>
        <w:t xml:space="preserve">Table </w:t>
      </w:r>
      <w:bookmarkEnd w:id="132"/>
      <w:r w:rsidR="00061C61">
        <w:rPr>
          <w:noProof/>
        </w:rPr>
        <w:t>12</w:t>
      </w:r>
      <w:r>
        <w:tab/>
        <w:t>Frequencies of students’ first post-school study programs for the LSAY Y06 cohort</w:t>
      </w:r>
      <w:bookmarkEnd w:id="133"/>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3402"/>
        <w:gridCol w:w="2268"/>
        <w:gridCol w:w="2268"/>
      </w:tblGrid>
      <w:tr w:rsidR="000C7D27" w:rsidRPr="00021C27" w14:paraId="1314FEFD" w14:textId="77777777" w:rsidTr="00630539">
        <w:tc>
          <w:tcPr>
            <w:tcW w:w="3402" w:type="dxa"/>
            <w:tcBorders>
              <w:top w:val="single" w:sz="4" w:space="0" w:color="auto"/>
              <w:bottom w:val="single" w:sz="4" w:space="0" w:color="auto"/>
            </w:tcBorders>
          </w:tcPr>
          <w:p w14:paraId="364D69D7" w14:textId="77777777" w:rsidR="000C7D27" w:rsidRPr="00EF37E3" w:rsidRDefault="000C7D27" w:rsidP="00332FD8">
            <w:pPr>
              <w:pStyle w:val="Tabletext"/>
              <w:rPr>
                <w:b/>
              </w:rPr>
            </w:pPr>
            <w:r w:rsidRPr="00EF37E3">
              <w:rPr>
                <w:b/>
              </w:rPr>
              <w:t>Post-school study</w:t>
            </w:r>
          </w:p>
        </w:tc>
        <w:tc>
          <w:tcPr>
            <w:tcW w:w="2268" w:type="dxa"/>
            <w:tcBorders>
              <w:top w:val="single" w:sz="4" w:space="0" w:color="auto"/>
              <w:bottom w:val="single" w:sz="4" w:space="0" w:color="auto"/>
            </w:tcBorders>
          </w:tcPr>
          <w:p w14:paraId="52E22D47" w14:textId="77777777" w:rsidR="000C7D27" w:rsidRPr="00EF37E3" w:rsidRDefault="000C7D27" w:rsidP="00EF37E3">
            <w:pPr>
              <w:pStyle w:val="Tabletext"/>
              <w:jc w:val="center"/>
              <w:rPr>
                <w:b/>
              </w:rPr>
            </w:pPr>
            <w:r w:rsidRPr="00EF37E3">
              <w:rPr>
                <w:b/>
              </w:rPr>
              <w:t>Frequency</w:t>
            </w:r>
          </w:p>
        </w:tc>
        <w:tc>
          <w:tcPr>
            <w:tcW w:w="2268" w:type="dxa"/>
            <w:tcBorders>
              <w:top w:val="single" w:sz="4" w:space="0" w:color="auto"/>
              <w:bottom w:val="single" w:sz="4" w:space="0" w:color="auto"/>
            </w:tcBorders>
          </w:tcPr>
          <w:p w14:paraId="49EFE445" w14:textId="32585FDF" w:rsidR="000C7D27" w:rsidRPr="00EF37E3" w:rsidRDefault="000C7D27" w:rsidP="00EF37E3">
            <w:pPr>
              <w:pStyle w:val="Tabletext"/>
              <w:jc w:val="center"/>
              <w:rPr>
                <w:b/>
              </w:rPr>
            </w:pPr>
            <w:r w:rsidRPr="00EF37E3">
              <w:rPr>
                <w:b/>
              </w:rPr>
              <w:t xml:space="preserve">Valid </w:t>
            </w:r>
            <w:r w:rsidR="00372CB2" w:rsidRPr="00EF37E3">
              <w:rPr>
                <w:b/>
              </w:rPr>
              <w:t>per cent</w:t>
            </w:r>
          </w:p>
        </w:tc>
      </w:tr>
      <w:tr w:rsidR="000C7D27" w:rsidRPr="00021C27" w14:paraId="6ED43207" w14:textId="77777777" w:rsidTr="00630539">
        <w:tc>
          <w:tcPr>
            <w:tcW w:w="3402" w:type="dxa"/>
            <w:tcBorders>
              <w:top w:val="single" w:sz="4" w:space="0" w:color="auto"/>
            </w:tcBorders>
          </w:tcPr>
          <w:p w14:paraId="2786F42C" w14:textId="77777777" w:rsidR="000C7D27" w:rsidRPr="00021C27" w:rsidRDefault="000C7D27" w:rsidP="00332FD8">
            <w:pPr>
              <w:pStyle w:val="Tabletext"/>
            </w:pPr>
            <w:r w:rsidRPr="00021C27">
              <w:t xml:space="preserve">No post-school </w:t>
            </w:r>
            <w:r>
              <w:t>study</w:t>
            </w:r>
          </w:p>
        </w:tc>
        <w:tc>
          <w:tcPr>
            <w:tcW w:w="2268" w:type="dxa"/>
            <w:tcBorders>
              <w:top w:val="single" w:sz="4" w:space="0" w:color="auto"/>
            </w:tcBorders>
          </w:tcPr>
          <w:p w14:paraId="7F5201AA" w14:textId="77777777" w:rsidR="000C7D27" w:rsidRPr="00021C27" w:rsidRDefault="000C7D27" w:rsidP="00EF37E3">
            <w:pPr>
              <w:pStyle w:val="Tabletext"/>
              <w:ind w:right="680"/>
              <w:jc w:val="right"/>
            </w:pPr>
            <w:r w:rsidRPr="00021C27">
              <w:t>568</w:t>
            </w:r>
          </w:p>
        </w:tc>
        <w:tc>
          <w:tcPr>
            <w:tcW w:w="2268" w:type="dxa"/>
            <w:tcBorders>
              <w:top w:val="single" w:sz="4" w:space="0" w:color="auto"/>
            </w:tcBorders>
          </w:tcPr>
          <w:p w14:paraId="0816D41E" w14:textId="77777777" w:rsidR="000C7D27" w:rsidRPr="00021C27" w:rsidRDefault="000C7D27" w:rsidP="00EF37E3">
            <w:pPr>
              <w:pStyle w:val="Tabletext"/>
              <w:ind w:right="680"/>
              <w:jc w:val="right"/>
            </w:pPr>
            <w:r w:rsidRPr="00021C27">
              <w:t>8.2</w:t>
            </w:r>
          </w:p>
        </w:tc>
      </w:tr>
      <w:tr w:rsidR="000C7D27" w:rsidRPr="00021C27" w14:paraId="790487D1" w14:textId="77777777" w:rsidTr="00630539">
        <w:tc>
          <w:tcPr>
            <w:tcW w:w="3402" w:type="dxa"/>
          </w:tcPr>
          <w:p w14:paraId="5D901A0C" w14:textId="77777777" w:rsidR="000C7D27" w:rsidRPr="00021C27" w:rsidRDefault="000C7D27" w:rsidP="00332FD8">
            <w:pPr>
              <w:pStyle w:val="Tabletext"/>
            </w:pPr>
            <w:r w:rsidRPr="00021C27">
              <w:t>Vocational certificate</w:t>
            </w:r>
          </w:p>
        </w:tc>
        <w:tc>
          <w:tcPr>
            <w:tcW w:w="2268" w:type="dxa"/>
          </w:tcPr>
          <w:p w14:paraId="7C442096" w14:textId="6AF313D8" w:rsidR="000C7D27" w:rsidRPr="00021C27" w:rsidRDefault="000C7D27" w:rsidP="00EF37E3">
            <w:pPr>
              <w:pStyle w:val="Tabletext"/>
              <w:ind w:right="680"/>
              <w:jc w:val="right"/>
            </w:pPr>
            <w:r w:rsidRPr="00021C27">
              <w:t>2</w:t>
            </w:r>
            <w:r w:rsidR="00EF37E3">
              <w:t xml:space="preserve"> </w:t>
            </w:r>
            <w:r w:rsidRPr="00021C27">
              <w:t>155</w:t>
            </w:r>
          </w:p>
        </w:tc>
        <w:tc>
          <w:tcPr>
            <w:tcW w:w="2268" w:type="dxa"/>
          </w:tcPr>
          <w:p w14:paraId="5CA31FB7" w14:textId="77777777" w:rsidR="000C7D27" w:rsidRPr="00021C27" w:rsidRDefault="000C7D27" w:rsidP="00EF37E3">
            <w:pPr>
              <w:pStyle w:val="Tabletext"/>
              <w:ind w:right="680"/>
              <w:jc w:val="right"/>
            </w:pPr>
            <w:r w:rsidRPr="00021C27">
              <w:t>31.0</w:t>
            </w:r>
          </w:p>
        </w:tc>
      </w:tr>
      <w:tr w:rsidR="000C7D27" w:rsidRPr="00021C27" w14:paraId="1B84690C" w14:textId="77777777" w:rsidTr="00630539">
        <w:tc>
          <w:tcPr>
            <w:tcW w:w="3402" w:type="dxa"/>
          </w:tcPr>
          <w:p w14:paraId="3DDB630C" w14:textId="77777777" w:rsidR="000C7D27" w:rsidRPr="00021C27" w:rsidRDefault="000C7D27" w:rsidP="00332FD8">
            <w:pPr>
              <w:pStyle w:val="Tabletext"/>
            </w:pPr>
            <w:r w:rsidRPr="00021C27">
              <w:t>Vocational diploma</w:t>
            </w:r>
          </w:p>
        </w:tc>
        <w:tc>
          <w:tcPr>
            <w:tcW w:w="2268" w:type="dxa"/>
          </w:tcPr>
          <w:p w14:paraId="2473A298" w14:textId="77777777" w:rsidR="000C7D27" w:rsidRPr="00021C27" w:rsidRDefault="000C7D27" w:rsidP="00EF37E3">
            <w:pPr>
              <w:pStyle w:val="Tabletext"/>
              <w:ind w:right="680"/>
              <w:jc w:val="right"/>
            </w:pPr>
            <w:r w:rsidRPr="00021C27">
              <w:t>567</w:t>
            </w:r>
          </w:p>
        </w:tc>
        <w:tc>
          <w:tcPr>
            <w:tcW w:w="2268" w:type="dxa"/>
          </w:tcPr>
          <w:p w14:paraId="033175E4" w14:textId="77777777" w:rsidR="000C7D27" w:rsidRPr="00021C27" w:rsidRDefault="000C7D27" w:rsidP="00EF37E3">
            <w:pPr>
              <w:pStyle w:val="Tabletext"/>
              <w:ind w:right="680"/>
              <w:jc w:val="right"/>
            </w:pPr>
            <w:r w:rsidRPr="00021C27">
              <w:t>8.2</w:t>
            </w:r>
          </w:p>
        </w:tc>
      </w:tr>
      <w:tr w:rsidR="000C7D27" w:rsidRPr="00021C27" w14:paraId="569CD9C8" w14:textId="77777777" w:rsidTr="00630539">
        <w:tc>
          <w:tcPr>
            <w:tcW w:w="3402" w:type="dxa"/>
          </w:tcPr>
          <w:p w14:paraId="41BEB433" w14:textId="067B2367" w:rsidR="000C7D27" w:rsidRPr="00021C27" w:rsidRDefault="000C7D27" w:rsidP="00332FD8">
            <w:pPr>
              <w:pStyle w:val="Tabletext"/>
            </w:pPr>
            <w:r w:rsidRPr="00021C27">
              <w:t>Bachelor</w:t>
            </w:r>
            <w:r w:rsidR="00372CB2">
              <w:t>’s</w:t>
            </w:r>
            <w:r w:rsidRPr="00021C27">
              <w:t xml:space="preserve"> degree</w:t>
            </w:r>
          </w:p>
        </w:tc>
        <w:tc>
          <w:tcPr>
            <w:tcW w:w="2268" w:type="dxa"/>
          </w:tcPr>
          <w:p w14:paraId="4C13D3E8" w14:textId="6E3B1074" w:rsidR="000C7D27" w:rsidRPr="00021C27" w:rsidRDefault="000C7D27" w:rsidP="00EF37E3">
            <w:pPr>
              <w:pStyle w:val="Tabletext"/>
              <w:ind w:right="680"/>
              <w:jc w:val="right"/>
            </w:pPr>
            <w:r w:rsidRPr="00021C27">
              <w:t>3</w:t>
            </w:r>
            <w:r w:rsidR="00EF37E3">
              <w:t xml:space="preserve"> </w:t>
            </w:r>
            <w:r w:rsidRPr="00021C27">
              <w:t>636</w:t>
            </w:r>
          </w:p>
        </w:tc>
        <w:tc>
          <w:tcPr>
            <w:tcW w:w="2268" w:type="dxa"/>
          </w:tcPr>
          <w:p w14:paraId="2FB53AC8" w14:textId="77777777" w:rsidR="000C7D27" w:rsidRPr="00021C27" w:rsidRDefault="000C7D27" w:rsidP="00EF37E3">
            <w:pPr>
              <w:pStyle w:val="Tabletext"/>
              <w:ind w:right="680"/>
              <w:jc w:val="right"/>
            </w:pPr>
            <w:r w:rsidRPr="00021C27">
              <w:t>52.3</w:t>
            </w:r>
          </w:p>
        </w:tc>
      </w:tr>
      <w:tr w:rsidR="000C7D27" w:rsidRPr="00021C27" w14:paraId="79E1A59D" w14:textId="77777777" w:rsidTr="00630539">
        <w:tc>
          <w:tcPr>
            <w:tcW w:w="3402" w:type="dxa"/>
            <w:tcBorders>
              <w:bottom w:val="single" w:sz="4" w:space="0" w:color="auto"/>
            </w:tcBorders>
          </w:tcPr>
          <w:p w14:paraId="5A5BA04D" w14:textId="77777777" w:rsidR="000C7D27" w:rsidRPr="00021C27" w:rsidRDefault="000C7D27" w:rsidP="00332FD8">
            <w:pPr>
              <w:pStyle w:val="Tabletext"/>
            </w:pPr>
            <w:r>
              <w:t>Postgraduate study</w:t>
            </w:r>
          </w:p>
        </w:tc>
        <w:tc>
          <w:tcPr>
            <w:tcW w:w="2268" w:type="dxa"/>
            <w:tcBorders>
              <w:bottom w:val="single" w:sz="4" w:space="0" w:color="auto"/>
            </w:tcBorders>
          </w:tcPr>
          <w:p w14:paraId="0821913A" w14:textId="77777777" w:rsidR="000C7D27" w:rsidRPr="00021C27" w:rsidRDefault="000C7D27" w:rsidP="00EF37E3">
            <w:pPr>
              <w:pStyle w:val="Tabletext"/>
              <w:ind w:right="680"/>
              <w:jc w:val="right"/>
            </w:pPr>
            <w:r w:rsidRPr="00021C27">
              <w:t>23</w:t>
            </w:r>
          </w:p>
        </w:tc>
        <w:tc>
          <w:tcPr>
            <w:tcW w:w="2268" w:type="dxa"/>
            <w:tcBorders>
              <w:bottom w:val="single" w:sz="4" w:space="0" w:color="auto"/>
            </w:tcBorders>
          </w:tcPr>
          <w:p w14:paraId="0ACD1D17" w14:textId="77777777" w:rsidR="000C7D27" w:rsidRPr="00021C27" w:rsidRDefault="000C7D27" w:rsidP="00EF37E3">
            <w:pPr>
              <w:pStyle w:val="Tabletext"/>
              <w:ind w:right="680"/>
              <w:jc w:val="right"/>
            </w:pPr>
            <w:r w:rsidRPr="00021C27">
              <w:t>0.3</w:t>
            </w:r>
          </w:p>
        </w:tc>
      </w:tr>
      <w:tr w:rsidR="000C7D27" w:rsidRPr="00021C27" w14:paraId="6B0AAD18" w14:textId="77777777" w:rsidTr="00630539">
        <w:tc>
          <w:tcPr>
            <w:tcW w:w="3402" w:type="dxa"/>
            <w:tcBorders>
              <w:top w:val="single" w:sz="4" w:space="0" w:color="auto"/>
              <w:bottom w:val="single" w:sz="4" w:space="0" w:color="auto"/>
            </w:tcBorders>
          </w:tcPr>
          <w:p w14:paraId="609B62F5" w14:textId="77777777" w:rsidR="000C7D27" w:rsidRPr="00021C27" w:rsidRDefault="000C7D27" w:rsidP="00332FD8">
            <w:pPr>
              <w:pStyle w:val="Tabletext"/>
            </w:pPr>
            <w:r w:rsidRPr="00021C27">
              <w:t>Total</w:t>
            </w:r>
          </w:p>
        </w:tc>
        <w:tc>
          <w:tcPr>
            <w:tcW w:w="2268" w:type="dxa"/>
            <w:tcBorders>
              <w:top w:val="single" w:sz="4" w:space="0" w:color="auto"/>
              <w:bottom w:val="single" w:sz="4" w:space="0" w:color="auto"/>
            </w:tcBorders>
          </w:tcPr>
          <w:p w14:paraId="443032A3" w14:textId="4C6C3506" w:rsidR="000C7D27" w:rsidRPr="00021C27" w:rsidRDefault="000C7D27" w:rsidP="00EF37E3">
            <w:pPr>
              <w:pStyle w:val="Tabletext"/>
              <w:ind w:right="680"/>
              <w:jc w:val="right"/>
            </w:pPr>
            <w:r w:rsidRPr="00021C27">
              <w:t>6</w:t>
            </w:r>
            <w:r w:rsidR="00EF37E3">
              <w:t xml:space="preserve"> </w:t>
            </w:r>
            <w:r w:rsidRPr="00021C27">
              <w:t>950</w:t>
            </w:r>
          </w:p>
        </w:tc>
        <w:tc>
          <w:tcPr>
            <w:tcW w:w="2268" w:type="dxa"/>
            <w:tcBorders>
              <w:top w:val="single" w:sz="4" w:space="0" w:color="auto"/>
              <w:bottom w:val="single" w:sz="4" w:space="0" w:color="auto"/>
            </w:tcBorders>
          </w:tcPr>
          <w:p w14:paraId="081364B2" w14:textId="77777777" w:rsidR="000C7D27" w:rsidRPr="00021C27" w:rsidRDefault="000C7D27" w:rsidP="00EF37E3">
            <w:pPr>
              <w:pStyle w:val="Tabletext"/>
              <w:ind w:right="680"/>
              <w:jc w:val="right"/>
            </w:pPr>
            <w:r w:rsidRPr="00021C27">
              <w:t>100.0</w:t>
            </w:r>
          </w:p>
        </w:tc>
      </w:tr>
    </w:tbl>
    <w:p w14:paraId="3BDFF9C2" w14:textId="3E1952CA" w:rsidR="00630539" w:rsidRDefault="00630539" w:rsidP="00332FD8">
      <w:pPr>
        <w:pStyle w:val="Source"/>
      </w:pPr>
      <w:r>
        <w:t>Note: Weighted by 2006 sample weights. Original sample was 14 170.</w:t>
      </w:r>
    </w:p>
    <w:p w14:paraId="139F66E9" w14:textId="077F7C55" w:rsidR="000C7D27" w:rsidRDefault="000C7D27" w:rsidP="00332FD8">
      <w:pPr>
        <w:pStyle w:val="Source"/>
      </w:pPr>
      <w:r>
        <w:t>Source</w:t>
      </w:r>
      <w:r w:rsidR="00E04DE6">
        <w:t>:</w:t>
      </w:r>
      <w:r>
        <w:tab/>
        <w:t xml:space="preserve">LSAY Y06 to 2016. </w:t>
      </w:r>
    </w:p>
    <w:p w14:paraId="653BAF6A" w14:textId="48255DE6" w:rsidR="000C7D27" w:rsidRDefault="000C7D27" w:rsidP="00332FD8">
      <w:pPr>
        <w:pStyle w:val="Text"/>
      </w:pPr>
      <w:r>
        <w:t>The main point of the analysis was to estimate transfers between V</w:t>
      </w:r>
      <w:r w:rsidR="00C94C35">
        <w:t>ET</w:t>
      </w:r>
      <w:r>
        <w:t xml:space="preserve"> and higher education. Estimates of these transfers are shown in </w:t>
      </w:r>
      <w:r w:rsidR="00C94C35">
        <w:t>t</w:t>
      </w:r>
      <w:r>
        <w:t xml:space="preserve">able </w:t>
      </w:r>
      <w:r w:rsidR="00061C61">
        <w:t>13</w:t>
      </w:r>
      <w:r>
        <w:t xml:space="preserve">. These estimates are based on students’ self-reported qualification levels and a transfer to a second program is based on the second program being at a different </w:t>
      </w:r>
      <w:r w:rsidR="00C94C35">
        <w:t>Australia</w:t>
      </w:r>
      <w:r w:rsidR="00481D76">
        <w:t>n</w:t>
      </w:r>
      <w:r w:rsidR="00C94C35">
        <w:t xml:space="preserve"> Qualifications Framework (</w:t>
      </w:r>
      <w:r>
        <w:t>AQF</w:t>
      </w:r>
      <w:r w:rsidR="00C94C35">
        <w:t>)</w:t>
      </w:r>
      <w:r>
        <w:t xml:space="preserve"> level, </w:t>
      </w:r>
      <w:r w:rsidR="00C94C35">
        <w:t>for example,</w:t>
      </w:r>
      <w:r>
        <w:t xml:space="preserve"> a certificate followed by a diploma qualification. About 2.5% of students undertook a third post-school program, but these are not shown.</w:t>
      </w:r>
    </w:p>
    <w:p w14:paraId="3DC56D3E" w14:textId="21B52638" w:rsidR="000C7D27" w:rsidRDefault="000C7D27" w:rsidP="00332FD8">
      <w:pPr>
        <w:pStyle w:val="Text"/>
      </w:pPr>
      <w:r>
        <w:t xml:space="preserve">It is very likely that there are transfers from a qualification in one field of study to a qualification at the same level in another field. Thus, transfers within sectors are likely to be underestimates. However, the main purpose of the analysis is to identify transfers between sectors. A small number of students claim that their first qualification is at a postgraduate level (graduate certificate, graduate diploma, master, or doctorate level). This seems unlikely, but it is possible in rare circumstances. The completion status of first qualifications was not </w:t>
      </w:r>
      <w:proofErr w:type="gramStart"/>
      <w:r>
        <w:t>taken into account</w:t>
      </w:r>
      <w:proofErr w:type="gramEnd"/>
      <w:r>
        <w:t>. Thus, from these analyses, it is not possible to confirm Moodie’s (2005) find</w:t>
      </w:r>
      <w:r w:rsidR="00C2454D">
        <w:t>ing</w:t>
      </w:r>
      <w:r>
        <w:t xml:space="preserve"> that much ‘reverse transfer’ involved students who had not completed their bachelor</w:t>
      </w:r>
      <w:r w:rsidR="00883772">
        <w:t>’s degree</w:t>
      </w:r>
      <w:r>
        <w:t xml:space="preserve"> study and switched instead to a VET qualification. It is worth noting that the inter-sectoral transfer rates found from the Y06 cohort are </w:t>
      </w:r>
      <w:proofErr w:type="gramStart"/>
      <w:r>
        <w:t>similar to</w:t>
      </w:r>
      <w:proofErr w:type="gramEnd"/>
      <w:r>
        <w:t xml:space="preserve"> those reported from a decade earlier for the Y95 cohort (Curtis 2006). Thus, while participation rates in both VET and higher education increased between the Y95 and Y06 cohorts, transfers between the sectors are quite similar.</w:t>
      </w:r>
    </w:p>
    <w:p w14:paraId="59FCC767" w14:textId="290EAE32" w:rsidR="000C7D27" w:rsidRPr="00464447" w:rsidRDefault="000C7D27" w:rsidP="00464447">
      <w:pPr>
        <w:pStyle w:val="Figuretitle"/>
      </w:pPr>
      <w:bookmarkStart w:id="134" w:name="_Ref533016600"/>
      <w:bookmarkStart w:id="135" w:name="_Toc19001670"/>
      <w:r w:rsidRPr="00464447">
        <w:t xml:space="preserve">Table </w:t>
      </w:r>
      <w:bookmarkEnd w:id="134"/>
      <w:r w:rsidR="00061C61" w:rsidRPr="00464447">
        <w:t>13</w:t>
      </w:r>
      <w:r w:rsidRPr="00464447">
        <w:tab/>
        <w:t>Estimates of transfers between VET and higher education for the LSAY Y06 cohort</w:t>
      </w:r>
      <w:bookmarkEnd w:id="135"/>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701"/>
        <w:gridCol w:w="1134"/>
        <w:gridCol w:w="1134"/>
        <w:gridCol w:w="1134"/>
        <w:gridCol w:w="1134"/>
        <w:gridCol w:w="1276"/>
        <w:gridCol w:w="992"/>
      </w:tblGrid>
      <w:tr w:rsidR="000C7D27" w:rsidRPr="009E345B" w14:paraId="35A69197" w14:textId="77777777" w:rsidTr="009712CE">
        <w:tc>
          <w:tcPr>
            <w:tcW w:w="1701" w:type="dxa"/>
            <w:tcBorders>
              <w:top w:val="single" w:sz="4" w:space="0" w:color="auto"/>
            </w:tcBorders>
          </w:tcPr>
          <w:p w14:paraId="517A9920" w14:textId="77777777" w:rsidR="000C7D27" w:rsidRPr="009E345B" w:rsidRDefault="000C7D27" w:rsidP="00332FD8">
            <w:pPr>
              <w:pStyle w:val="Tabletext"/>
            </w:pPr>
          </w:p>
        </w:tc>
        <w:tc>
          <w:tcPr>
            <w:tcW w:w="6804" w:type="dxa"/>
            <w:gridSpan w:val="6"/>
            <w:tcBorders>
              <w:top w:val="single" w:sz="4" w:space="0" w:color="auto"/>
            </w:tcBorders>
          </w:tcPr>
          <w:p w14:paraId="6751513D" w14:textId="77777777" w:rsidR="000C7D27" w:rsidRPr="00EF37E3" w:rsidRDefault="000C7D27" w:rsidP="00EF37E3">
            <w:pPr>
              <w:pStyle w:val="Tabletext"/>
              <w:jc w:val="center"/>
              <w:rPr>
                <w:b/>
              </w:rPr>
            </w:pPr>
            <w:r w:rsidRPr="00EF37E3">
              <w:rPr>
                <w:b/>
              </w:rPr>
              <w:t>Second post-school study program</w:t>
            </w:r>
          </w:p>
        </w:tc>
      </w:tr>
      <w:tr w:rsidR="000C7D27" w:rsidRPr="009E345B" w14:paraId="527F30AD" w14:textId="77777777" w:rsidTr="009712CE">
        <w:tc>
          <w:tcPr>
            <w:tcW w:w="1701" w:type="dxa"/>
            <w:tcBorders>
              <w:bottom w:val="single" w:sz="4" w:space="0" w:color="auto"/>
            </w:tcBorders>
          </w:tcPr>
          <w:p w14:paraId="522C0E11" w14:textId="0DFBA288" w:rsidR="000C7D27" w:rsidRPr="009E345B" w:rsidRDefault="000C7D27" w:rsidP="00332FD8">
            <w:pPr>
              <w:pStyle w:val="Tabletext"/>
            </w:pPr>
            <w:r>
              <w:t xml:space="preserve">First </w:t>
            </w:r>
            <w:r w:rsidR="00ED4CD3">
              <w:t>p</w:t>
            </w:r>
            <w:r>
              <w:t>ost-school program</w:t>
            </w:r>
          </w:p>
        </w:tc>
        <w:tc>
          <w:tcPr>
            <w:tcW w:w="1134" w:type="dxa"/>
            <w:tcBorders>
              <w:bottom w:val="single" w:sz="4" w:space="0" w:color="auto"/>
            </w:tcBorders>
          </w:tcPr>
          <w:p w14:paraId="7F249590" w14:textId="77777777" w:rsidR="000C7D27" w:rsidRPr="009E345B" w:rsidRDefault="000C7D27" w:rsidP="00332FD8">
            <w:pPr>
              <w:pStyle w:val="Tabletext"/>
            </w:pPr>
            <w:r w:rsidRPr="009E345B">
              <w:t xml:space="preserve">No </w:t>
            </w:r>
            <w:r>
              <w:t>second program</w:t>
            </w:r>
          </w:p>
        </w:tc>
        <w:tc>
          <w:tcPr>
            <w:tcW w:w="1134" w:type="dxa"/>
            <w:tcBorders>
              <w:bottom w:val="single" w:sz="4" w:space="0" w:color="auto"/>
            </w:tcBorders>
          </w:tcPr>
          <w:p w14:paraId="398AAB07" w14:textId="77777777" w:rsidR="000C7D27" w:rsidRPr="009E345B" w:rsidRDefault="000C7D27" w:rsidP="00332FD8">
            <w:pPr>
              <w:pStyle w:val="Tabletext"/>
            </w:pPr>
            <w:r w:rsidRPr="009E345B">
              <w:t>Vocational certificate</w:t>
            </w:r>
          </w:p>
        </w:tc>
        <w:tc>
          <w:tcPr>
            <w:tcW w:w="1134" w:type="dxa"/>
            <w:tcBorders>
              <w:bottom w:val="single" w:sz="4" w:space="0" w:color="auto"/>
            </w:tcBorders>
          </w:tcPr>
          <w:p w14:paraId="17CFECCF" w14:textId="77777777" w:rsidR="000C7D27" w:rsidRPr="009E345B" w:rsidRDefault="000C7D27" w:rsidP="00332FD8">
            <w:pPr>
              <w:pStyle w:val="Tabletext"/>
            </w:pPr>
            <w:r w:rsidRPr="009E345B">
              <w:t>Vocational diploma</w:t>
            </w:r>
          </w:p>
        </w:tc>
        <w:tc>
          <w:tcPr>
            <w:tcW w:w="1134" w:type="dxa"/>
            <w:tcBorders>
              <w:bottom w:val="single" w:sz="4" w:space="0" w:color="auto"/>
            </w:tcBorders>
          </w:tcPr>
          <w:p w14:paraId="1EBC7CB2" w14:textId="1D9C1724" w:rsidR="000C7D27" w:rsidRPr="009E345B" w:rsidRDefault="000C7D27" w:rsidP="00332FD8">
            <w:pPr>
              <w:pStyle w:val="Tabletext"/>
            </w:pPr>
            <w:r w:rsidRPr="009E345B">
              <w:t>Bachelor</w:t>
            </w:r>
            <w:r w:rsidR="00ED4CD3">
              <w:t>’s</w:t>
            </w:r>
            <w:r w:rsidRPr="009E345B">
              <w:t xml:space="preserve"> degree</w:t>
            </w:r>
          </w:p>
        </w:tc>
        <w:tc>
          <w:tcPr>
            <w:tcW w:w="1276" w:type="dxa"/>
            <w:tcBorders>
              <w:bottom w:val="single" w:sz="4" w:space="0" w:color="auto"/>
            </w:tcBorders>
          </w:tcPr>
          <w:p w14:paraId="400874AF" w14:textId="0F2B4E47" w:rsidR="000C7D27" w:rsidRPr="009E345B" w:rsidRDefault="000C7D27" w:rsidP="00332FD8">
            <w:pPr>
              <w:pStyle w:val="Tabletext"/>
            </w:pPr>
            <w:r>
              <w:t>Postgraduate study</w:t>
            </w:r>
          </w:p>
        </w:tc>
        <w:tc>
          <w:tcPr>
            <w:tcW w:w="992" w:type="dxa"/>
            <w:tcBorders>
              <w:bottom w:val="single" w:sz="4" w:space="0" w:color="auto"/>
            </w:tcBorders>
          </w:tcPr>
          <w:p w14:paraId="1F712402" w14:textId="77777777" w:rsidR="000C7D27" w:rsidRPr="009E345B" w:rsidRDefault="000C7D27" w:rsidP="00EF37E3">
            <w:pPr>
              <w:pStyle w:val="Tabletext"/>
              <w:ind w:right="284"/>
              <w:jc w:val="right"/>
            </w:pPr>
            <w:r w:rsidRPr="009E345B">
              <w:t>Total</w:t>
            </w:r>
          </w:p>
        </w:tc>
      </w:tr>
      <w:tr w:rsidR="000C7D27" w:rsidRPr="009E345B" w14:paraId="3BA8211A" w14:textId="77777777" w:rsidTr="009712CE">
        <w:tc>
          <w:tcPr>
            <w:tcW w:w="1701" w:type="dxa"/>
            <w:tcBorders>
              <w:top w:val="single" w:sz="4" w:space="0" w:color="auto"/>
            </w:tcBorders>
          </w:tcPr>
          <w:p w14:paraId="747B2F6A" w14:textId="77777777" w:rsidR="000C7D27" w:rsidRPr="009E345B" w:rsidRDefault="000C7D27" w:rsidP="00332FD8">
            <w:pPr>
              <w:pStyle w:val="Tabletext"/>
            </w:pPr>
            <w:r w:rsidRPr="009E345B">
              <w:t xml:space="preserve">No post-school </w:t>
            </w:r>
            <w:r>
              <w:t>study</w:t>
            </w:r>
          </w:p>
        </w:tc>
        <w:tc>
          <w:tcPr>
            <w:tcW w:w="1134" w:type="dxa"/>
            <w:tcBorders>
              <w:top w:val="single" w:sz="4" w:space="0" w:color="auto"/>
            </w:tcBorders>
          </w:tcPr>
          <w:p w14:paraId="34D6FC28" w14:textId="77777777" w:rsidR="000C7D27" w:rsidRPr="009E345B" w:rsidRDefault="000C7D27" w:rsidP="00EF37E3">
            <w:pPr>
              <w:pStyle w:val="Tabletext"/>
              <w:ind w:right="284"/>
              <w:jc w:val="right"/>
            </w:pPr>
            <w:r w:rsidRPr="009E345B">
              <w:t>568</w:t>
            </w:r>
          </w:p>
        </w:tc>
        <w:tc>
          <w:tcPr>
            <w:tcW w:w="1134" w:type="dxa"/>
            <w:tcBorders>
              <w:top w:val="single" w:sz="4" w:space="0" w:color="auto"/>
            </w:tcBorders>
          </w:tcPr>
          <w:p w14:paraId="36944DBE" w14:textId="77777777" w:rsidR="000C7D27" w:rsidRPr="009E345B" w:rsidRDefault="000C7D27" w:rsidP="00EF37E3">
            <w:pPr>
              <w:pStyle w:val="Tabletext"/>
              <w:ind w:right="284"/>
              <w:jc w:val="right"/>
            </w:pPr>
            <w:r w:rsidRPr="009E345B">
              <w:t>0</w:t>
            </w:r>
          </w:p>
        </w:tc>
        <w:tc>
          <w:tcPr>
            <w:tcW w:w="1134" w:type="dxa"/>
            <w:tcBorders>
              <w:top w:val="single" w:sz="4" w:space="0" w:color="auto"/>
            </w:tcBorders>
          </w:tcPr>
          <w:p w14:paraId="7277493D" w14:textId="77777777" w:rsidR="000C7D27" w:rsidRPr="009E345B" w:rsidRDefault="000C7D27" w:rsidP="00EF37E3">
            <w:pPr>
              <w:pStyle w:val="Tabletext"/>
              <w:ind w:right="284"/>
              <w:jc w:val="right"/>
            </w:pPr>
            <w:r w:rsidRPr="009E345B">
              <w:t>0</w:t>
            </w:r>
          </w:p>
        </w:tc>
        <w:tc>
          <w:tcPr>
            <w:tcW w:w="1134" w:type="dxa"/>
            <w:tcBorders>
              <w:top w:val="single" w:sz="4" w:space="0" w:color="auto"/>
            </w:tcBorders>
          </w:tcPr>
          <w:p w14:paraId="6541937B" w14:textId="77777777" w:rsidR="000C7D27" w:rsidRPr="009E345B" w:rsidRDefault="000C7D27" w:rsidP="00EF37E3">
            <w:pPr>
              <w:pStyle w:val="Tabletext"/>
              <w:ind w:right="284"/>
              <w:jc w:val="right"/>
            </w:pPr>
            <w:r w:rsidRPr="009E345B">
              <w:t>0</w:t>
            </w:r>
          </w:p>
        </w:tc>
        <w:tc>
          <w:tcPr>
            <w:tcW w:w="1276" w:type="dxa"/>
            <w:tcBorders>
              <w:top w:val="single" w:sz="4" w:space="0" w:color="auto"/>
            </w:tcBorders>
          </w:tcPr>
          <w:p w14:paraId="1FC3CC4C" w14:textId="77777777" w:rsidR="000C7D27" w:rsidRPr="009E345B" w:rsidRDefault="000C7D27" w:rsidP="00EF37E3">
            <w:pPr>
              <w:pStyle w:val="Tabletext"/>
              <w:ind w:right="284"/>
              <w:jc w:val="right"/>
            </w:pPr>
            <w:r w:rsidRPr="009E345B">
              <w:t>0</w:t>
            </w:r>
          </w:p>
        </w:tc>
        <w:tc>
          <w:tcPr>
            <w:tcW w:w="992" w:type="dxa"/>
            <w:tcBorders>
              <w:top w:val="single" w:sz="4" w:space="0" w:color="auto"/>
            </w:tcBorders>
          </w:tcPr>
          <w:p w14:paraId="358147B1" w14:textId="77777777" w:rsidR="000C7D27" w:rsidRPr="009E345B" w:rsidRDefault="000C7D27" w:rsidP="00EF37E3">
            <w:pPr>
              <w:pStyle w:val="Tabletext"/>
              <w:ind w:right="284"/>
              <w:jc w:val="right"/>
            </w:pPr>
            <w:r w:rsidRPr="009E345B">
              <w:t>568</w:t>
            </w:r>
          </w:p>
        </w:tc>
      </w:tr>
      <w:tr w:rsidR="000C7D27" w:rsidRPr="009E345B" w14:paraId="7F59ABE4" w14:textId="77777777" w:rsidTr="009712CE">
        <w:tc>
          <w:tcPr>
            <w:tcW w:w="1701" w:type="dxa"/>
          </w:tcPr>
          <w:p w14:paraId="3C0AA715" w14:textId="77777777" w:rsidR="000C7D27" w:rsidRPr="009E345B" w:rsidRDefault="000C7D27" w:rsidP="00332FD8">
            <w:pPr>
              <w:pStyle w:val="Tabletext"/>
            </w:pPr>
            <w:r w:rsidRPr="009E345B">
              <w:t>Vocational certificate</w:t>
            </w:r>
          </w:p>
        </w:tc>
        <w:tc>
          <w:tcPr>
            <w:tcW w:w="1134" w:type="dxa"/>
          </w:tcPr>
          <w:p w14:paraId="7FB892C9" w14:textId="74D61EB0" w:rsidR="000C7D27" w:rsidRPr="009E345B" w:rsidRDefault="000C7D27" w:rsidP="00EF37E3">
            <w:pPr>
              <w:pStyle w:val="Tabletext"/>
              <w:ind w:right="284"/>
              <w:jc w:val="right"/>
            </w:pPr>
            <w:r w:rsidRPr="009E345B">
              <w:t>1</w:t>
            </w:r>
            <w:r w:rsidR="00EF37E3">
              <w:t xml:space="preserve"> </w:t>
            </w:r>
            <w:r w:rsidRPr="009E345B">
              <w:t>368</w:t>
            </w:r>
          </w:p>
        </w:tc>
        <w:tc>
          <w:tcPr>
            <w:tcW w:w="1134" w:type="dxa"/>
          </w:tcPr>
          <w:p w14:paraId="66E43821" w14:textId="77777777" w:rsidR="000C7D27" w:rsidRPr="009E345B" w:rsidRDefault="000C7D27" w:rsidP="00EF37E3">
            <w:pPr>
              <w:pStyle w:val="Tabletext"/>
              <w:ind w:right="284"/>
              <w:jc w:val="right"/>
            </w:pPr>
            <w:r w:rsidRPr="009E345B">
              <w:t>591</w:t>
            </w:r>
          </w:p>
        </w:tc>
        <w:tc>
          <w:tcPr>
            <w:tcW w:w="1134" w:type="dxa"/>
          </w:tcPr>
          <w:p w14:paraId="5C4A47CB" w14:textId="77777777" w:rsidR="000C7D27" w:rsidRPr="009E345B" w:rsidRDefault="000C7D27" w:rsidP="00EF37E3">
            <w:pPr>
              <w:pStyle w:val="Tabletext"/>
              <w:ind w:right="284"/>
              <w:jc w:val="right"/>
            </w:pPr>
            <w:r w:rsidRPr="009E345B">
              <w:t>82</w:t>
            </w:r>
          </w:p>
        </w:tc>
        <w:tc>
          <w:tcPr>
            <w:tcW w:w="1134" w:type="dxa"/>
          </w:tcPr>
          <w:p w14:paraId="28B10F9D" w14:textId="77777777" w:rsidR="000C7D27" w:rsidRPr="009E345B" w:rsidRDefault="000C7D27" w:rsidP="00EF37E3">
            <w:pPr>
              <w:pStyle w:val="Tabletext"/>
              <w:ind w:right="284"/>
              <w:jc w:val="right"/>
            </w:pPr>
            <w:r w:rsidRPr="009E345B">
              <w:t>102</w:t>
            </w:r>
          </w:p>
        </w:tc>
        <w:tc>
          <w:tcPr>
            <w:tcW w:w="1276" w:type="dxa"/>
          </w:tcPr>
          <w:p w14:paraId="2BB0BDD9" w14:textId="77777777" w:rsidR="000C7D27" w:rsidRPr="009E345B" w:rsidRDefault="000C7D27" w:rsidP="00EF37E3">
            <w:pPr>
              <w:pStyle w:val="Tabletext"/>
              <w:ind w:right="284"/>
              <w:jc w:val="right"/>
            </w:pPr>
            <w:r w:rsidRPr="009E345B">
              <w:t>12</w:t>
            </w:r>
          </w:p>
        </w:tc>
        <w:tc>
          <w:tcPr>
            <w:tcW w:w="992" w:type="dxa"/>
          </w:tcPr>
          <w:p w14:paraId="366FF012" w14:textId="1B7F0C7C" w:rsidR="000C7D27" w:rsidRPr="009E345B" w:rsidRDefault="000C7D27" w:rsidP="00EF37E3">
            <w:pPr>
              <w:pStyle w:val="Tabletext"/>
              <w:ind w:right="284"/>
              <w:jc w:val="right"/>
            </w:pPr>
            <w:r w:rsidRPr="009E345B">
              <w:t>2</w:t>
            </w:r>
            <w:r w:rsidR="00EF37E3">
              <w:t xml:space="preserve"> </w:t>
            </w:r>
            <w:r w:rsidRPr="009E345B">
              <w:t>155</w:t>
            </w:r>
          </w:p>
        </w:tc>
      </w:tr>
      <w:tr w:rsidR="000C7D27" w:rsidRPr="009E345B" w14:paraId="7F791A5C" w14:textId="77777777" w:rsidTr="009712CE">
        <w:tc>
          <w:tcPr>
            <w:tcW w:w="1701" w:type="dxa"/>
          </w:tcPr>
          <w:p w14:paraId="2E24435D" w14:textId="77777777" w:rsidR="000C7D27" w:rsidRPr="009E345B" w:rsidRDefault="000C7D27" w:rsidP="00332FD8">
            <w:pPr>
              <w:pStyle w:val="Tabletext"/>
            </w:pPr>
            <w:r w:rsidRPr="009E345B">
              <w:t>Vocational diploma</w:t>
            </w:r>
          </w:p>
        </w:tc>
        <w:tc>
          <w:tcPr>
            <w:tcW w:w="1134" w:type="dxa"/>
          </w:tcPr>
          <w:p w14:paraId="4039123D" w14:textId="77777777" w:rsidR="000C7D27" w:rsidRPr="009E345B" w:rsidRDefault="000C7D27" w:rsidP="00EF37E3">
            <w:pPr>
              <w:pStyle w:val="Tabletext"/>
              <w:ind w:right="284"/>
              <w:jc w:val="right"/>
            </w:pPr>
            <w:r w:rsidRPr="009E345B">
              <w:t>352</w:t>
            </w:r>
          </w:p>
        </w:tc>
        <w:tc>
          <w:tcPr>
            <w:tcW w:w="1134" w:type="dxa"/>
          </w:tcPr>
          <w:p w14:paraId="687D84A0" w14:textId="77777777" w:rsidR="000C7D27" w:rsidRPr="009E345B" w:rsidRDefault="000C7D27" w:rsidP="00EF37E3">
            <w:pPr>
              <w:pStyle w:val="Tabletext"/>
              <w:ind w:right="284"/>
              <w:jc w:val="right"/>
            </w:pPr>
            <w:r w:rsidRPr="009E345B">
              <w:t>18</w:t>
            </w:r>
          </w:p>
        </w:tc>
        <w:tc>
          <w:tcPr>
            <w:tcW w:w="1134" w:type="dxa"/>
          </w:tcPr>
          <w:p w14:paraId="3255DF7E" w14:textId="77777777" w:rsidR="000C7D27" w:rsidRPr="009E345B" w:rsidRDefault="000C7D27" w:rsidP="00EF37E3">
            <w:pPr>
              <w:pStyle w:val="Tabletext"/>
              <w:ind w:right="284"/>
              <w:jc w:val="right"/>
            </w:pPr>
            <w:r w:rsidRPr="009E345B">
              <w:t>129</w:t>
            </w:r>
          </w:p>
        </w:tc>
        <w:tc>
          <w:tcPr>
            <w:tcW w:w="1134" w:type="dxa"/>
          </w:tcPr>
          <w:p w14:paraId="236BB7CC" w14:textId="77777777" w:rsidR="000C7D27" w:rsidRPr="009E345B" w:rsidRDefault="000C7D27" w:rsidP="00EF37E3">
            <w:pPr>
              <w:pStyle w:val="Tabletext"/>
              <w:ind w:right="284"/>
              <w:jc w:val="right"/>
            </w:pPr>
            <w:r w:rsidRPr="009E345B">
              <w:t>62</w:t>
            </w:r>
          </w:p>
        </w:tc>
        <w:tc>
          <w:tcPr>
            <w:tcW w:w="1276" w:type="dxa"/>
          </w:tcPr>
          <w:p w14:paraId="7676CA79" w14:textId="77777777" w:rsidR="000C7D27" w:rsidRPr="009E345B" w:rsidRDefault="000C7D27" w:rsidP="00EF37E3">
            <w:pPr>
              <w:pStyle w:val="Tabletext"/>
              <w:ind w:right="284"/>
              <w:jc w:val="right"/>
            </w:pPr>
            <w:r w:rsidRPr="009E345B">
              <w:t>7</w:t>
            </w:r>
          </w:p>
        </w:tc>
        <w:tc>
          <w:tcPr>
            <w:tcW w:w="992" w:type="dxa"/>
          </w:tcPr>
          <w:p w14:paraId="46427B18" w14:textId="77777777" w:rsidR="000C7D27" w:rsidRPr="009E345B" w:rsidRDefault="000C7D27" w:rsidP="00EF37E3">
            <w:pPr>
              <w:pStyle w:val="Tabletext"/>
              <w:ind w:right="284"/>
              <w:jc w:val="right"/>
            </w:pPr>
            <w:r w:rsidRPr="009E345B">
              <w:t>568</w:t>
            </w:r>
          </w:p>
        </w:tc>
      </w:tr>
      <w:tr w:rsidR="000C7D27" w:rsidRPr="009E345B" w14:paraId="1C93DB14" w14:textId="77777777" w:rsidTr="009712CE">
        <w:tc>
          <w:tcPr>
            <w:tcW w:w="1701" w:type="dxa"/>
          </w:tcPr>
          <w:p w14:paraId="63F54909" w14:textId="39741F75" w:rsidR="000C7D27" w:rsidRPr="009E345B" w:rsidRDefault="000C7D27" w:rsidP="00332FD8">
            <w:pPr>
              <w:pStyle w:val="Tabletext"/>
            </w:pPr>
            <w:r w:rsidRPr="009E345B">
              <w:t>Bachelor</w:t>
            </w:r>
            <w:r w:rsidR="00E04DE6">
              <w:t>’s</w:t>
            </w:r>
            <w:r w:rsidRPr="009E345B">
              <w:t xml:space="preserve"> degree</w:t>
            </w:r>
          </w:p>
        </w:tc>
        <w:tc>
          <w:tcPr>
            <w:tcW w:w="1134" w:type="dxa"/>
          </w:tcPr>
          <w:p w14:paraId="53FFC3CC" w14:textId="74A18E1F" w:rsidR="000C7D27" w:rsidRPr="009E345B" w:rsidRDefault="000C7D27" w:rsidP="00EF37E3">
            <w:pPr>
              <w:pStyle w:val="Tabletext"/>
              <w:ind w:right="284"/>
              <w:jc w:val="right"/>
            </w:pPr>
            <w:r w:rsidRPr="009E345B">
              <w:t>2</w:t>
            </w:r>
            <w:r w:rsidR="00EF37E3">
              <w:t xml:space="preserve"> </w:t>
            </w:r>
            <w:r w:rsidRPr="009E345B">
              <w:t>009</w:t>
            </w:r>
          </w:p>
        </w:tc>
        <w:tc>
          <w:tcPr>
            <w:tcW w:w="1134" w:type="dxa"/>
          </w:tcPr>
          <w:p w14:paraId="160747AC" w14:textId="77777777" w:rsidR="000C7D27" w:rsidRPr="009E345B" w:rsidRDefault="000C7D27" w:rsidP="00EF37E3">
            <w:pPr>
              <w:pStyle w:val="Tabletext"/>
              <w:ind w:right="284"/>
              <w:jc w:val="right"/>
            </w:pPr>
            <w:r w:rsidRPr="009E345B">
              <w:t>83</w:t>
            </w:r>
          </w:p>
        </w:tc>
        <w:tc>
          <w:tcPr>
            <w:tcW w:w="1134" w:type="dxa"/>
          </w:tcPr>
          <w:p w14:paraId="30554DCE" w14:textId="77777777" w:rsidR="000C7D27" w:rsidRPr="009E345B" w:rsidRDefault="000C7D27" w:rsidP="00EF37E3">
            <w:pPr>
              <w:pStyle w:val="Tabletext"/>
              <w:ind w:right="284"/>
              <w:jc w:val="right"/>
            </w:pPr>
            <w:r w:rsidRPr="009E345B">
              <w:t>55</w:t>
            </w:r>
          </w:p>
        </w:tc>
        <w:tc>
          <w:tcPr>
            <w:tcW w:w="1134" w:type="dxa"/>
          </w:tcPr>
          <w:p w14:paraId="539693C7" w14:textId="740EBE25" w:rsidR="000C7D27" w:rsidRPr="009E345B" w:rsidRDefault="000C7D27" w:rsidP="00EF37E3">
            <w:pPr>
              <w:pStyle w:val="Tabletext"/>
              <w:ind w:right="284"/>
              <w:jc w:val="right"/>
            </w:pPr>
            <w:r w:rsidRPr="009E345B">
              <w:t>1</w:t>
            </w:r>
            <w:r w:rsidR="00EF37E3">
              <w:t xml:space="preserve"> </w:t>
            </w:r>
            <w:r w:rsidRPr="009E345B">
              <w:t>165</w:t>
            </w:r>
          </w:p>
        </w:tc>
        <w:tc>
          <w:tcPr>
            <w:tcW w:w="1276" w:type="dxa"/>
          </w:tcPr>
          <w:p w14:paraId="52B01F1F" w14:textId="77777777" w:rsidR="000C7D27" w:rsidRPr="009E345B" w:rsidRDefault="000C7D27" w:rsidP="00EF37E3">
            <w:pPr>
              <w:pStyle w:val="Tabletext"/>
              <w:ind w:right="284"/>
              <w:jc w:val="right"/>
            </w:pPr>
            <w:r w:rsidRPr="009E345B">
              <w:t>325</w:t>
            </w:r>
          </w:p>
        </w:tc>
        <w:tc>
          <w:tcPr>
            <w:tcW w:w="992" w:type="dxa"/>
          </w:tcPr>
          <w:p w14:paraId="49A6BC55" w14:textId="24097FF8" w:rsidR="000C7D27" w:rsidRPr="009E345B" w:rsidRDefault="000C7D27" w:rsidP="00EF37E3">
            <w:pPr>
              <w:pStyle w:val="Tabletext"/>
              <w:ind w:right="284"/>
              <w:jc w:val="right"/>
            </w:pPr>
            <w:r w:rsidRPr="009E345B">
              <w:t>3</w:t>
            </w:r>
            <w:r w:rsidR="00EF37E3">
              <w:t xml:space="preserve"> </w:t>
            </w:r>
            <w:r w:rsidRPr="009E345B">
              <w:t>637</w:t>
            </w:r>
          </w:p>
        </w:tc>
      </w:tr>
      <w:tr w:rsidR="000C7D27" w:rsidRPr="009E345B" w14:paraId="5BB24DAC" w14:textId="77777777" w:rsidTr="009712CE">
        <w:tc>
          <w:tcPr>
            <w:tcW w:w="1701" w:type="dxa"/>
            <w:tcBorders>
              <w:bottom w:val="single" w:sz="4" w:space="0" w:color="auto"/>
            </w:tcBorders>
          </w:tcPr>
          <w:p w14:paraId="6F484BB4" w14:textId="77777777" w:rsidR="000C7D27" w:rsidRPr="009E345B" w:rsidRDefault="000C7D27" w:rsidP="00332FD8">
            <w:pPr>
              <w:pStyle w:val="Tabletext"/>
            </w:pPr>
            <w:r>
              <w:t>Postgraduate study</w:t>
            </w:r>
          </w:p>
        </w:tc>
        <w:tc>
          <w:tcPr>
            <w:tcW w:w="1134" w:type="dxa"/>
            <w:tcBorders>
              <w:bottom w:val="single" w:sz="4" w:space="0" w:color="auto"/>
            </w:tcBorders>
          </w:tcPr>
          <w:p w14:paraId="438D367F" w14:textId="77777777" w:rsidR="000C7D27" w:rsidRPr="009E345B" w:rsidRDefault="000C7D27" w:rsidP="00EF37E3">
            <w:pPr>
              <w:pStyle w:val="Tabletext"/>
              <w:ind w:right="284"/>
              <w:jc w:val="right"/>
            </w:pPr>
            <w:r w:rsidRPr="009E345B">
              <w:t>18</w:t>
            </w:r>
          </w:p>
        </w:tc>
        <w:tc>
          <w:tcPr>
            <w:tcW w:w="1134" w:type="dxa"/>
            <w:tcBorders>
              <w:bottom w:val="single" w:sz="4" w:space="0" w:color="auto"/>
            </w:tcBorders>
          </w:tcPr>
          <w:p w14:paraId="1B707497" w14:textId="77777777" w:rsidR="000C7D27" w:rsidRPr="009E345B" w:rsidRDefault="000C7D27" w:rsidP="00EF37E3">
            <w:pPr>
              <w:pStyle w:val="Tabletext"/>
              <w:ind w:right="284"/>
              <w:jc w:val="right"/>
            </w:pPr>
            <w:r w:rsidRPr="009E345B">
              <w:t>0</w:t>
            </w:r>
          </w:p>
        </w:tc>
        <w:tc>
          <w:tcPr>
            <w:tcW w:w="1134" w:type="dxa"/>
            <w:tcBorders>
              <w:bottom w:val="single" w:sz="4" w:space="0" w:color="auto"/>
            </w:tcBorders>
          </w:tcPr>
          <w:p w14:paraId="44357F26" w14:textId="77777777" w:rsidR="000C7D27" w:rsidRPr="009E345B" w:rsidRDefault="000C7D27" w:rsidP="00EF37E3">
            <w:pPr>
              <w:pStyle w:val="Tabletext"/>
              <w:ind w:right="284"/>
              <w:jc w:val="right"/>
            </w:pPr>
            <w:r w:rsidRPr="009E345B">
              <w:t>0</w:t>
            </w:r>
          </w:p>
        </w:tc>
        <w:tc>
          <w:tcPr>
            <w:tcW w:w="1134" w:type="dxa"/>
            <w:tcBorders>
              <w:bottom w:val="single" w:sz="4" w:space="0" w:color="auto"/>
            </w:tcBorders>
          </w:tcPr>
          <w:p w14:paraId="535BBAC8" w14:textId="77777777" w:rsidR="000C7D27" w:rsidRPr="009E345B" w:rsidRDefault="000C7D27" w:rsidP="00EF37E3">
            <w:pPr>
              <w:pStyle w:val="Tabletext"/>
              <w:ind w:right="284"/>
              <w:jc w:val="right"/>
            </w:pPr>
            <w:r w:rsidRPr="009E345B">
              <w:t>3</w:t>
            </w:r>
          </w:p>
        </w:tc>
        <w:tc>
          <w:tcPr>
            <w:tcW w:w="1276" w:type="dxa"/>
            <w:tcBorders>
              <w:bottom w:val="single" w:sz="4" w:space="0" w:color="auto"/>
            </w:tcBorders>
          </w:tcPr>
          <w:p w14:paraId="01196CAB" w14:textId="77777777" w:rsidR="000C7D27" w:rsidRPr="009E345B" w:rsidRDefault="000C7D27" w:rsidP="00EF37E3">
            <w:pPr>
              <w:pStyle w:val="Tabletext"/>
              <w:ind w:right="284"/>
              <w:jc w:val="right"/>
            </w:pPr>
            <w:r w:rsidRPr="009E345B">
              <w:t>1</w:t>
            </w:r>
          </w:p>
        </w:tc>
        <w:tc>
          <w:tcPr>
            <w:tcW w:w="992" w:type="dxa"/>
            <w:tcBorders>
              <w:bottom w:val="single" w:sz="4" w:space="0" w:color="auto"/>
            </w:tcBorders>
          </w:tcPr>
          <w:p w14:paraId="476A7FB6" w14:textId="77777777" w:rsidR="000C7D27" w:rsidRPr="009E345B" w:rsidRDefault="000C7D27" w:rsidP="00EF37E3">
            <w:pPr>
              <w:pStyle w:val="Tabletext"/>
              <w:ind w:right="284"/>
              <w:jc w:val="right"/>
            </w:pPr>
            <w:r w:rsidRPr="009E345B">
              <w:t>22</w:t>
            </w:r>
          </w:p>
        </w:tc>
      </w:tr>
      <w:tr w:rsidR="000C7D27" w:rsidRPr="009E345B" w14:paraId="6C154ED4" w14:textId="77777777" w:rsidTr="009712CE">
        <w:tc>
          <w:tcPr>
            <w:tcW w:w="1701" w:type="dxa"/>
            <w:tcBorders>
              <w:top w:val="single" w:sz="4" w:space="0" w:color="auto"/>
              <w:bottom w:val="single" w:sz="4" w:space="0" w:color="auto"/>
            </w:tcBorders>
          </w:tcPr>
          <w:p w14:paraId="625A9BA5" w14:textId="77777777" w:rsidR="000C7D27" w:rsidRPr="009E345B" w:rsidRDefault="000C7D27" w:rsidP="00332FD8">
            <w:pPr>
              <w:pStyle w:val="Tabletext"/>
            </w:pPr>
            <w:r>
              <w:t>Total</w:t>
            </w:r>
          </w:p>
        </w:tc>
        <w:tc>
          <w:tcPr>
            <w:tcW w:w="1134" w:type="dxa"/>
            <w:tcBorders>
              <w:top w:val="single" w:sz="4" w:space="0" w:color="auto"/>
              <w:bottom w:val="single" w:sz="4" w:space="0" w:color="auto"/>
            </w:tcBorders>
          </w:tcPr>
          <w:p w14:paraId="4911F2D1" w14:textId="556447A3" w:rsidR="000C7D27" w:rsidRPr="009E345B" w:rsidRDefault="000C7D27" w:rsidP="00EF37E3">
            <w:pPr>
              <w:pStyle w:val="Tabletext"/>
              <w:ind w:right="284"/>
              <w:jc w:val="right"/>
            </w:pPr>
            <w:r w:rsidRPr="009E345B">
              <w:t>4</w:t>
            </w:r>
            <w:r w:rsidR="00EF37E3">
              <w:t xml:space="preserve"> </w:t>
            </w:r>
            <w:r w:rsidRPr="009E345B">
              <w:t>315</w:t>
            </w:r>
          </w:p>
        </w:tc>
        <w:tc>
          <w:tcPr>
            <w:tcW w:w="1134" w:type="dxa"/>
            <w:tcBorders>
              <w:top w:val="single" w:sz="4" w:space="0" w:color="auto"/>
              <w:bottom w:val="single" w:sz="4" w:space="0" w:color="auto"/>
            </w:tcBorders>
          </w:tcPr>
          <w:p w14:paraId="509D08A7" w14:textId="77777777" w:rsidR="000C7D27" w:rsidRPr="009E345B" w:rsidRDefault="000C7D27" w:rsidP="00EF37E3">
            <w:pPr>
              <w:pStyle w:val="Tabletext"/>
              <w:ind w:right="284"/>
              <w:jc w:val="right"/>
            </w:pPr>
            <w:r w:rsidRPr="009E345B">
              <w:t>692</w:t>
            </w:r>
          </w:p>
        </w:tc>
        <w:tc>
          <w:tcPr>
            <w:tcW w:w="1134" w:type="dxa"/>
            <w:tcBorders>
              <w:top w:val="single" w:sz="4" w:space="0" w:color="auto"/>
              <w:bottom w:val="single" w:sz="4" w:space="0" w:color="auto"/>
            </w:tcBorders>
          </w:tcPr>
          <w:p w14:paraId="3361C882" w14:textId="77777777" w:rsidR="000C7D27" w:rsidRPr="009E345B" w:rsidRDefault="000C7D27" w:rsidP="00EF37E3">
            <w:pPr>
              <w:pStyle w:val="Tabletext"/>
              <w:ind w:right="284"/>
              <w:jc w:val="right"/>
            </w:pPr>
            <w:r w:rsidRPr="009E345B">
              <w:t>266</w:t>
            </w:r>
          </w:p>
        </w:tc>
        <w:tc>
          <w:tcPr>
            <w:tcW w:w="1134" w:type="dxa"/>
            <w:tcBorders>
              <w:top w:val="single" w:sz="4" w:space="0" w:color="auto"/>
              <w:bottom w:val="single" w:sz="4" w:space="0" w:color="auto"/>
            </w:tcBorders>
          </w:tcPr>
          <w:p w14:paraId="4955F4E6" w14:textId="68DA5388" w:rsidR="000C7D27" w:rsidRPr="009E345B" w:rsidRDefault="000C7D27" w:rsidP="00EF37E3">
            <w:pPr>
              <w:pStyle w:val="Tabletext"/>
              <w:ind w:right="284"/>
              <w:jc w:val="right"/>
            </w:pPr>
            <w:r w:rsidRPr="009E345B">
              <w:t>1</w:t>
            </w:r>
            <w:r w:rsidR="00A23206">
              <w:t xml:space="preserve"> </w:t>
            </w:r>
            <w:r w:rsidRPr="009E345B">
              <w:t>332</w:t>
            </w:r>
          </w:p>
        </w:tc>
        <w:tc>
          <w:tcPr>
            <w:tcW w:w="1276" w:type="dxa"/>
            <w:tcBorders>
              <w:top w:val="single" w:sz="4" w:space="0" w:color="auto"/>
              <w:bottom w:val="single" w:sz="4" w:space="0" w:color="auto"/>
            </w:tcBorders>
          </w:tcPr>
          <w:p w14:paraId="01A0F4F3" w14:textId="77777777" w:rsidR="000C7D27" w:rsidRPr="009E345B" w:rsidRDefault="000C7D27" w:rsidP="00EF37E3">
            <w:pPr>
              <w:pStyle w:val="Tabletext"/>
              <w:ind w:right="284"/>
              <w:jc w:val="right"/>
            </w:pPr>
            <w:r w:rsidRPr="009E345B">
              <w:t>345</w:t>
            </w:r>
          </w:p>
        </w:tc>
        <w:tc>
          <w:tcPr>
            <w:tcW w:w="992" w:type="dxa"/>
            <w:tcBorders>
              <w:top w:val="single" w:sz="4" w:space="0" w:color="auto"/>
              <w:bottom w:val="single" w:sz="4" w:space="0" w:color="auto"/>
            </w:tcBorders>
          </w:tcPr>
          <w:p w14:paraId="16E1B624" w14:textId="673CD6CE" w:rsidR="000C7D27" w:rsidRPr="009E345B" w:rsidRDefault="000C7D27" w:rsidP="00EF37E3">
            <w:pPr>
              <w:pStyle w:val="Tabletext"/>
              <w:ind w:right="284"/>
              <w:jc w:val="right"/>
            </w:pPr>
            <w:r w:rsidRPr="009E345B">
              <w:t>6</w:t>
            </w:r>
            <w:r w:rsidR="00EF37E3">
              <w:t xml:space="preserve"> </w:t>
            </w:r>
            <w:r w:rsidRPr="009E345B">
              <w:t>950</w:t>
            </w:r>
          </w:p>
        </w:tc>
      </w:tr>
    </w:tbl>
    <w:p w14:paraId="2D49040A" w14:textId="6CBB2678" w:rsidR="00630539" w:rsidRDefault="00630539" w:rsidP="007D1C51">
      <w:pPr>
        <w:pStyle w:val="Source"/>
      </w:pPr>
      <w:r>
        <w:t>Note: Weighted by 2006 sample weights.</w:t>
      </w:r>
    </w:p>
    <w:p w14:paraId="087E18DD" w14:textId="2D06B34F" w:rsidR="000C7D27" w:rsidRDefault="000C7D27" w:rsidP="007D1C51">
      <w:pPr>
        <w:pStyle w:val="Source"/>
      </w:pPr>
      <w:r>
        <w:t>Source</w:t>
      </w:r>
      <w:r w:rsidR="00A1658D">
        <w:t>:</w:t>
      </w:r>
      <w:r>
        <w:tab/>
        <w:t xml:space="preserve">LSAY Y06 to 2016. </w:t>
      </w:r>
    </w:p>
    <w:p w14:paraId="688C7920" w14:textId="0686887D" w:rsidR="000C7D27" w:rsidRDefault="000C7D27" w:rsidP="00EE6C69">
      <w:pPr>
        <w:pStyle w:val="Text"/>
      </w:pPr>
      <w:r>
        <w:t xml:space="preserve">The data in the table suggest that </w:t>
      </w:r>
      <w:r w:rsidR="00D47D25">
        <w:t>6.7</w:t>
      </w:r>
      <w:r>
        <w:t>% of students whose first post-school study was in the VET sector subsequently enrolled in a higher education course. Of those students whose first course was a bachelor</w:t>
      </w:r>
      <w:r w:rsidR="00ED4CD3">
        <w:t>’s</w:t>
      </w:r>
      <w:r>
        <w:t xml:space="preserve"> degree, </w:t>
      </w:r>
      <w:r w:rsidR="00D47D25">
        <w:t>3.8</w:t>
      </w:r>
      <w:r>
        <w:t>% subsequently enrolled in a VET qualification. These estimates need to be treated with caution. Because of the length of bachelor</w:t>
      </w:r>
      <w:r w:rsidR="00FB4B8E">
        <w:t>’s</w:t>
      </w:r>
      <w:r>
        <w:t xml:space="preserve"> degree programs, it is possible that graduates may not have commenced a VET qualification before </w:t>
      </w:r>
      <w:r>
        <w:lastRenderedPageBreak/>
        <w:t>the final wave of the Y06 cohort was interviewed or because they had dropped out of the survey. Thus</w:t>
      </w:r>
      <w:r w:rsidR="007D1C51">
        <w:t>,</w:t>
      </w:r>
      <w:r>
        <w:t xml:space="preserve"> the higher education to VET transfer is likely to underestimate the true figure.</w:t>
      </w:r>
    </w:p>
    <w:p w14:paraId="700FAC38" w14:textId="77777777" w:rsidR="000C7D27" w:rsidRDefault="000C7D27" w:rsidP="000C7D27">
      <w:pPr>
        <w:pStyle w:val="Heading2"/>
      </w:pPr>
      <w:bookmarkStart w:id="136" w:name="_Toc15048915"/>
      <w:bookmarkStart w:id="137" w:name="_Toc19803928"/>
      <w:r>
        <w:t>Implications of inter-sectoral transfer</w:t>
      </w:r>
      <w:bookmarkEnd w:id="136"/>
      <w:bookmarkEnd w:id="137"/>
    </w:p>
    <w:p w14:paraId="244EDA41" w14:textId="6B18E06D" w:rsidR="000C7D27" w:rsidRDefault="000C7D27" w:rsidP="007D1C51">
      <w:pPr>
        <w:pStyle w:val="Text"/>
      </w:pPr>
      <w:r>
        <w:t xml:space="preserve">While there has been some policy interest in inter-sectoral transfers, their existence should not be a matter of concern. Considerable concern has </w:t>
      </w:r>
      <w:r w:rsidR="00FB4B8E">
        <w:t>been expressed</w:t>
      </w:r>
      <w:r>
        <w:t xml:space="preserve"> about drop-outs in higher education and non-completion of VET qualifications and, if well-founded, those concerns are legitimate. In the higher education sector, it is often asserted that 30% of commencing students drop out. An</w:t>
      </w:r>
      <w:r w:rsidR="00832A1F">
        <w:t xml:space="preserve"> an</w:t>
      </w:r>
      <w:r>
        <w:t xml:space="preserve">alysis of LSAY datasets has shown that this is an overestimate of the problem and that most of the 30% are students who have changed courses or institutions or have moved from higher education to VET (McMillan 2005). Young people do change their minds about career </w:t>
      </w:r>
      <w:proofErr w:type="gramStart"/>
      <w:r>
        <w:t>paths</w:t>
      </w:r>
      <w:proofErr w:type="gramEnd"/>
      <w:r>
        <w:t xml:space="preserve"> and we need a system that can accommodate such changes while providing students with as much credit transfer as is reasonable between programs and institutions.</w:t>
      </w:r>
    </w:p>
    <w:p w14:paraId="0017B779" w14:textId="06A63B33" w:rsidR="008721E6" w:rsidRDefault="000C7D27" w:rsidP="007D1C51">
      <w:pPr>
        <w:pStyle w:val="Text"/>
      </w:pPr>
      <w:r>
        <w:t>Transfers from VET to higher education typically involve students moving from certificate and diploma programs into degree courses in the same field. This suggests an upward mobility as students seek to gain higher</w:t>
      </w:r>
      <w:r w:rsidR="00832A1F">
        <w:t>-</w:t>
      </w:r>
      <w:r>
        <w:t>level qualifications</w:t>
      </w:r>
      <w:r w:rsidR="00832A1F">
        <w:t>, which</w:t>
      </w:r>
      <w:r>
        <w:t xml:space="preserve">, it is hoped, will lead to better remuneration for individuals and higher net productivity. This form of mobility, </w:t>
      </w:r>
      <w:r w:rsidR="00E40EFE">
        <w:t>which</w:t>
      </w:r>
      <w:r>
        <w:t xml:space="preserve"> the Bradley review (Bradley et al. 2008, pp. 191</w:t>
      </w:r>
      <w:r w:rsidR="00832A1F">
        <w:t>−</w:t>
      </w:r>
      <w:r>
        <w:t>3) sought to promote and that Moodie has argued for (see</w:t>
      </w:r>
      <w:r w:rsidR="00832A1F">
        <w:t>, for example,</w:t>
      </w:r>
      <w:r>
        <w:t xml:space="preserve"> Moodie 2008)</w:t>
      </w:r>
      <w:r w:rsidR="00673D4F">
        <w:t>,</w:t>
      </w:r>
      <w:r>
        <w:t xml:space="preserve"> does not occur in Australia as commonly as it does in North American post-secondary systems (Moodie 2003). To the extent that long-term labour market changes will require higher-level skills, there is a case for promoting seamless pathways between the two post-school sectors in Australia.</w:t>
      </w:r>
    </w:p>
    <w:p w14:paraId="3239C894" w14:textId="77777777" w:rsidR="008721E6" w:rsidRDefault="008721E6">
      <w:pPr>
        <w:spacing w:before="0" w:line="240" w:lineRule="auto"/>
      </w:pPr>
      <w:r>
        <w:br w:type="page"/>
      </w:r>
    </w:p>
    <w:p w14:paraId="28E657DA" w14:textId="19697C41" w:rsidR="000C7D27" w:rsidRDefault="000C7D27" w:rsidP="00B02EAA">
      <w:pPr>
        <w:pStyle w:val="Heading2"/>
        <w:spacing w:after="240"/>
      </w:pPr>
      <w:bookmarkStart w:id="138" w:name="_Toc15048916"/>
      <w:bookmarkStart w:id="139" w:name="_Toc19803929"/>
      <w:r>
        <w:lastRenderedPageBreak/>
        <w:t>References</w:t>
      </w:r>
      <w:bookmarkEnd w:id="138"/>
      <w:bookmarkEnd w:id="139"/>
    </w:p>
    <w:p w14:paraId="7ED09763" w14:textId="7D80A1F7" w:rsidR="002D2F43" w:rsidRPr="00EB1D48" w:rsidRDefault="002D2F43" w:rsidP="00CA7395">
      <w:pPr>
        <w:pStyle w:val="Text"/>
        <w:ind w:left="284" w:hanging="284"/>
        <w:rPr>
          <w:sz w:val="18"/>
          <w:szCs w:val="18"/>
        </w:rPr>
      </w:pPr>
      <w:r w:rsidRPr="00EB1D48">
        <w:rPr>
          <w:sz w:val="18"/>
          <w:szCs w:val="18"/>
        </w:rPr>
        <w:t>ABS (Australian Bureau of Statistics)</w:t>
      </w:r>
      <w:r w:rsidR="00EB1D48" w:rsidRPr="00EB1D48">
        <w:rPr>
          <w:sz w:val="18"/>
          <w:szCs w:val="18"/>
        </w:rPr>
        <w:t xml:space="preserve"> 2018, </w:t>
      </w:r>
      <w:r w:rsidR="00EB1D48" w:rsidRPr="00EB1D48">
        <w:rPr>
          <w:i/>
          <w:iCs/>
          <w:sz w:val="18"/>
          <w:szCs w:val="18"/>
        </w:rPr>
        <w:t>Labour force Australia (detailed electronic delivery)</w:t>
      </w:r>
      <w:r w:rsidR="00EB1D48" w:rsidRPr="00EB1D48">
        <w:rPr>
          <w:sz w:val="18"/>
          <w:szCs w:val="18"/>
        </w:rPr>
        <w:t>, cat.no.6291.0.55.001, ABS, Canberra.</w:t>
      </w:r>
    </w:p>
    <w:p w14:paraId="27C51732" w14:textId="77777777" w:rsidR="000C7D27" w:rsidRPr="00EB6A50" w:rsidRDefault="000C7D27" w:rsidP="00B02EAA">
      <w:pPr>
        <w:pStyle w:val="References"/>
      </w:pPr>
      <w:r>
        <w:t xml:space="preserve">Bradley, D, Noonan, P, Nugent, H &amp; Scales, B 2008, </w:t>
      </w:r>
      <w:r>
        <w:rPr>
          <w:i/>
        </w:rPr>
        <w:t>Review into Australian higher education, final report</w:t>
      </w:r>
      <w:r>
        <w:t>, Department of Education, Employment and Workplace Relations, Canberra.</w:t>
      </w:r>
    </w:p>
    <w:p w14:paraId="4F17A7D7" w14:textId="0D80F279" w:rsidR="000C7D27" w:rsidRPr="00EB6A50" w:rsidRDefault="000C7D27" w:rsidP="00B02EAA">
      <w:pPr>
        <w:pStyle w:val="References"/>
      </w:pPr>
      <w:r>
        <w:t xml:space="preserve">Clarke, K &amp; </w:t>
      </w:r>
      <w:proofErr w:type="spellStart"/>
      <w:r>
        <w:t>Polesel</w:t>
      </w:r>
      <w:proofErr w:type="spellEnd"/>
      <w:r>
        <w:t xml:space="preserve">, J 2013, </w:t>
      </w:r>
      <w:r w:rsidR="00110967">
        <w:t>‘</w:t>
      </w:r>
      <w:r>
        <w:t>Strong on retention, weak on outcomes: the impact of vocational education and training in schools</w:t>
      </w:r>
      <w:r w:rsidR="00110967">
        <w:t>’</w:t>
      </w:r>
      <w:r>
        <w:t xml:space="preserve">, </w:t>
      </w:r>
      <w:r>
        <w:rPr>
          <w:i/>
        </w:rPr>
        <w:t>Discourse: Studies in the Cultural Politics of Education</w:t>
      </w:r>
      <w:r>
        <w:t>,</w:t>
      </w:r>
      <w:r w:rsidR="00110967">
        <w:t xml:space="preserve"> </w:t>
      </w:r>
      <w:r w:rsidR="00281885">
        <w:t>vol.</w:t>
      </w:r>
      <w:r w:rsidR="00281885" w:rsidRPr="00CA7395">
        <w:t>34</w:t>
      </w:r>
      <w:r w:rsidR="00281885">
        <w:t>, no.2, pp.</w:t>
      </w:r>
      <w:r>
        <w:t>259</w:t>
      </w:r>
      <w:r w:rsidR="00281885">
        <w:t>−</w:t>
      </w:r>
      <w:r>
        <w:t>73.</w:t>
      </w:r>
    </w:p>
    <w:p w14:paraId="598EB24E" w14:textId="2C27AC71" w:rsidR="000C7D27" w:rsidRPr="00EB6A50" w:rsidRDefault="000C7D27" w:rsidP="00B02EAA">
      <w:pPr>
        <w:pStyle w:val="References"/>
      </w:pPr>
      <w:r>
        <w:t xml:space="preserve">Curtis, DD 2006, </w:t>
      </w:r>
      <w:r w:rsidR="00281885">
        <w:t>‘</w:t>
      </w:r>
      <w:r w:rsidRPr="00CA7395">
        <w:t xml:space="preserve">Inter-sectoral transfers: sense, status, prevalence and </w:t>
      </w:r>
      <w:r w:rsidRPr="00281885">
        <w:rPr>
          <w:iCs/>
        </w:rPr>
        <w:t>purpose</w:t>
      </w:r>
      <w:r w:rsidR="00281885">
        <w:rPr>
          <w:iCs/>
        </w:rPr>
        <w:t>’</w:t>
      </w:r>
      <w:r>
        <w:t>, paper presented at the 15</w:t>
      </w:r>
      <w:r w:rsidRPr="00CA7395">
        <w:t>th</w:t>
      </w:r>
      <w:r>
        <w:t xml:space="preserve"> National Vocational Education and Training Research Conference, Mooloolaba, Australia, &lt;http://voced.edu.au/vital_node_create/ngv_42529&gt;.</w:t>
      </w:r>
    </w:p>
    <w:p w14:paraId="525B33F3" w14:textId="353482C4" w:rsidR="000C7D27" w:rsidRPr="00EB6A50" w:rsidRDefault="00281885" w:rsidP="00B02EAA">
      <w:pPr>
        <w:pStyle w:val="References"/>
      </w:pPr>
      <w:r>
        <w:t>−−</w:t>
      </w:r>
      <w:r w:rsidR="000C7D27">
        <w:t xml:space="preserve">2011, </w:t>
      </w:r>
      <w:r>
        <w:t>‘</w:t>
      </w:r>
      <w:r w:rsidR="000C7D27" w:rsidRPr="00CA7395">
        <w:t xml:space="preserve">Evaluating VET provider </w:t>
      </w:r>
      <w:r w:rsidR="000C7D27" w:rsidRPr="00281885">
        <w:rPr>
          <w:iCs/>
        </w:rPr>
        <w:t>effectiveness</w:t>
      </w:r>
      <w:r>
        <w:rPr>
          <w:iCs/>
        </w:rPr>
        <w:t>’</w:t>
      </w:r>
      <w:r w:rsidR="000C7D27">
        <w:t>, paper presented at the New Zealand VET Research Forum, Victoria University, Wellington, New Zealand.</w:t>
      </w:r>
    </w:p>
    <w:p w14:paraId="0FE4D469" w14:textId="17FA0805" w:rsidR="000C7D27" w:rsidRPr="00EB6A50" w:rsidRDefault="00281885" w:rsidP="00B02EAA">
      <w:pPr>
        <w:pStyle w:val="References"/>
      </w:pPr>
      <w:r>
        <w:t>−−</w:t>
      </w:r>
      <w:r w:rsidR="000C7D27">
        <w:t xml:space="preserve">2013, </w:t>
      </w:r>
      <w:r>
        <w:t>‘</w:t>
      </w:r>
      <w:r w:rsidR="000C7D27">
        <w:t>Post-school pathways in Australia: participant characteristics</w:t>
      </w:r>
      <w:r>
        <w:t>’</w:t>
      </w:r>
      <w:r w:rsidR="000C7D27">
        <w:t xml:space="preserve">, in S </w:t>
      </w:r>
      <w:proofErr w:type="spellStart"/>
      <w:r w:rsidR="000C7D27">
        <w:t>Alagumalai</w:t>
      </w:r>
      <w:proofErr w:type="spellEnd"/>
      <w:r w:rsidR="000C7D27">
        <w:t>, S Burley &amp; JP Keeves (</w:t>
      </w:r>
      <w:r>
        <w:t>e</w:t>
      </w:r>
      <w:r w:rsidR="000C7D27">
        <w:t xml:space="preserve">ds), </w:t>
      </w:r>
      <w:r w:rsidR="000C7D27">
        <w:rPr>
          <w:i/>
        </w:rPr>
        <w:t xml:space="preserve">Excellence in scholarship: transcending </w:t>
      </w:r>
      <w:proofErr w:type="spellStart"/>
      <w:r w:rsidR="000C7D27">
        <w:rPr>
          <w:i/>
        </w:rPr>
        <w:t>transdisciplinarity</w:t>
      </w:r>
      <w:proofErr w:type="spellEnd"/>
      <w:r w:rsidR="000C7D27">
        <w:rPr>
          <w:i/>
        </w:rPr>
        <w:t xml:space="preserve"> in teacher education</w:t>
      </w:r>
      <w:r w:rsidR="000C7D27">
        <w:t>, Sense Publishers, Rotterdam</w:t>
      </w:r>
      <w:r>
        <w:t>,</w:t>
      </w:r>
      <w:r w:rsidRPr="00281885">
        <w:t xml:space="preserve"> </w:t>
      </w:r>
      <w:r>
        <w:t>pp.123−38.</w:t>
      </w:r>
    </w:p>
    <w:p w14:paraId="58B57F88" w14:textId="1CE57FAA" w:rsidR="000C7D27" w:rsidRPr="00EB6A50" w:rsidRDefault="000C7D27" w:rsidP="00B02EAA">
      <w:pPr>
        <w:pStyle w:val="References"/>
      </w:pPr>
      <w:r>
        <w:t xml:space="preserve">Curtis, DD &amp; McMillan, J 2008, </w:t>
      </w:r>
      <w:r>
        <w:rPr>
          <w:i/>
        </w:rPr>
        <w:t>School non-completers: profiles and initial destinations</w:t>
      </w:r>
      <w:r w:rsidR="003E491E">
        <w:rPr>
          <w:i/>
        </w:rPr>
        <w:t xml:space="preserve">, </w:t>
      </w:r>
      <w:r w:rsidR="003E491E">
        <w:t xml:space="preserve">LSAY </w:t>
      </w:r>
      <w:r w:rsidR="00BC1757">
        <w:t xml:space="preserve">research report </w:t>
      </w:r>
      <w:r w:rsidR="003E491E">
        <w:t xml:space="preserve">no. </w:t>
      </w:r>
      <w:r>
        <w:t>54,</w:t>
      </w:r>
      <w:r w:rsidR="003E491E">
        <w:t xml:space="preserve"> </w:t>
      </w:r>
      <w:r w:rsidR="00053DDD">
        <w:t>Australian Council for Educational Research</w:t>
      </w:r>
      <w:r w:rsidR="003E491E">
        <w:t xml:space="preserve">, </w:t>
      </w:r>
      <w:r w:rsidR="00BC1757">
        <w:t xml:space="preserve">Camberwell, Vic., </w:t>
      </w:r>
      <w:r w:rsidR="003E491E">
        <w:t>&lt;</w:t>
      </w:r>
      <w:r w:rsidR="003E491E" w:rsidRPr="003E491E">
        <w:t>https://research.acer.edu.au/lsay_research/4/</w:t>
      </w:r>
      <w:r w:rsidR="003E491E">
        <w:t>&gt;.</w:t>
      </w:r>
    </w:p>
    <w:p w14:paraId="45EA77DF" w14:textId="37BFD9B1" w:rsidR="000C7D27" w:rsidRPr="00EB6A50" w:rsidRDefault="000C7D27" w:rsidP="00B02EAA">
      <w:pPr>
        <w:pStyle w:val="References"/>
      </w:pPr>
      <w:r>
        <w:t>Department of Education</w:t>
      </w:r>
      <w:r w:rsidR="00BC1757">
        <w:t>,</w:t>
      </w:r>
      <w:r>
        <w:t xml:space="preserve"> Employment and Workplace Relations 2009, </w:t>
      </w:r>
      <w:r>
        <w:rPr>
          <w:i/>
        </w:rPr>
        <w:t>Transforming Australia’s higher education system</w:t>
      </w:r>
      <w:r>
        <w:t xml:space="preserve">, </w:t>
      </w:r>
      <w:r w:rsidR="00EE2103">
        <w:t>DEEWR</w:t>
      </w:r>
      <w:r>
        <w:t>, Canberra.</w:t>
      </w:r>
    </w:p>
    <w:p w14:paraId="73FCD0DA" w14:textId="49BAAEFF" w:rsidR="002E7FCF" w:rsidRPr="00EB6A50" w:rsidRDefault="002E7FCF" w:rsidP="002E7FCF">
      <w:pPr>
        <w:pStyle w:val="References"/>
      </w:pPr>
      <w:r>
        <w:t xml:space="preserve">Harris, R, Sumner, R &amp; Rainey, L 2005, </w:t>
      </w:r>
      <w:r>
        <w:rPr>
          <w:i/>
        </w:rPr>
        <w:t>Student traffic: two-way movement between vocational education and training and higher education</w:t>
      </w:r>
      <w:r>
        <w:t>, NCVER, Adelaide.</w:t>
      </w:r>
    </w:p>
    <w:p w14:paraId="4F057C54" w14:textId="22657684" w:rsidR="000C7D27" w:rsidRPr="00EB6A50" w:rsidRDefault="002E7FCF" w:rsidP="00B02EAA">
      <w:pPr>
        <w:pStyle w:val="References"/>
      </w:pPr>
      <w:r>
        <w:t>−−</w:t>
      </w:r>
      <w:r w:rsidR="000C7D27">
        <w:t xml:space="preserve">2006, </w:t>
      </w:r>
      <w:r w:rsidR="000C7D27">
        <w:rPr>
          <w:i/>
        </w:rPr>
        <w:t>Crazy paving or stepping stones? Learning pathways within and between vocational education and training and higher education</w:t>
      </w:r>
      <w:r w:rsidR="000C7D27">
        <w:t xml:space="preserve">, </w:t>
      </w:r>
      <w:r w:rsidR="00EE2103">
        <w:t>NCVER, Adelaide</w:t>
      </w:r>
      <w:r w:rsidR="000C7D27">
        <w:t>.</w:t>
      </w:r>
    </w:p>
    <w:p w14:paraId="5742702D" w14:textId="1F9D2642" w:rsidR="000C7D27" w:rsidRPr="00EB6A50" w:rsidRDefault="000C7D27" w:rsidP="00B02EAA">
      <w:pPr>
        <w:pStyle w:val="References"/>
      </w:pPr>
      <w:r>
        <w:t xml:space="preserve">Hillman, K 2018, </w:t>
      </w:r>
      <w:r>
        <w:rPr>
          <w:i/>
        </w:rPr>
        <w:t xml:space="preserve">PISA Australia in </w:t>
      </w:r>
      <w:r w:rsidR="00F34510">
        <w:rPr>
          <w:i/>
        </w:rPr>
        <w:t>focus, number 2: educational expectations</w:t>
      </w:r>
      <w:r>
        <w:t xml:space="preserve">, </w:t>
      </w:r>
      <w:r w:rsidR="00053DDD">
        <w:t>Australian Council for Educational Research</w:t>
      </w:r>
      <w:r>
        <w:t>, Melbourne.</w:t>
      </w:r>
    </w:p>
    <w:p w14:paraId="2AD65154" w14:textId="1133D91A" w:rsidR="000C7D27" w:rsidRPr="00EB6A50" w:rsidRDefault="000C7D27" w:rsidP="00B02EAA">
      <w:pPr>
        <w:pStyle w:val="References"/>
      </w:pPr>
      <w:r>
        <w:t xml:space="preserve">McMillan, J 2005, </w:t>
      </w:r>
      <w:r>
        <w:rPr>
          <w:i/>
        </w:rPr>
        <w:t>Course change and attrition from higher education</w:t>
      </w:r>
      <w:r w:rsidR="003E491E">
        <w:rPr>
          <w:i/>
        </w:rPr>
        <w:t xml:space="preserve">, </w:t>
      </w:r>
      <w:r w:rsidR="003E491E">
        <w:t xml:space="preserve">LSAY </w:t>
      </w:r>
      <w:r w:rsidR="00F34510">
        <w:t>r</w:t>
      </w:r>
      <w:r w:rsidR="003E491E">
        <w:t>esearch report no.</w:t>
      </w:r>
      <w:r>
        <w:t>39</w:t>
      </w:r>
      <w:r w:rsidR="003E491E">
        <w:t xml:space="preserve">, </w:t>
      </w:r>
      <w:r w:rsidR="00053DDD">
        <w:t>Australian Council for Educational Research</w:t>
      </w:r>
      <w:r w:rsidR="003E491E">
        <w:t>, &lt;</w:t>
      </w:r>
      <w:r w:rsidR="003E491E" w:rsidRPr="003E491E">
        <w:t>https://research.acer.edu.au/lsay_research/43/</w:t>
      </w:r>
      <w:r w:rsidR="003E491E">
        <w:t>&gt;.</w:t>
      </w:r>
    </w:p>
    <w:p w14:paraId="7AFADB54" w14:textId="33CDA8CF" w:rsidR="000C7D27" w:rsidRPr="00EB6A50" w:rsidRDefault="000C7D27" w:rsidP="00B02EAA">
      <w:pPr>
        <w:pStyle w:val="References"/>
      </w:pPr>
      <w:r>
        <w:t xml:space="preserve">McMillan, J &amp; Curtis, DD 2008, </w:t>
      </w:r>
      <w:r w:rsidR="00F34510">
        <w:t>‘</w:t>
      </w:r>
      <w:r w:rsidRPr="00CA7395">
        <w:t xml:space="preserve">Participation in senior schooling: the vocational alternative and the role of </w:t>
      </w:r>
      <w:r w:rsidRPr="00F34510">
        <w:rPr>
          <w:iCs/>
        </w:rPr>
        <w:t>VET</w:t>
      </w:r>
      <w:r w:rsidR="00F34510">
        <w:rPr>
          <w:iCs/>
        </w:rPr>
        <w:t>’</w:t>
      </w:r>
      <w:r>
        <w:t>, paper presented at VET in context, Adelaide.</w:t>
      </w:r>
    </w:p>
    <w:p w14:paraId="04BD213A" w14:textId="1B6F567D" w:rsidR="000C7D27" w:rsidRPr="004C5A77" w:rsidRDefault="000C7D27" w:rsidP="00B02EAA">
      <w:pPr>
        <w:pStyle w:val="References"/>
      </w:pPr>
      <w:r>
        <w:t xml:space="preserve">Moodie, G 2003, </w:t>
      </w:r>
      <w:r w:rsidR="00F34510">
        <w:t>‘</w:t>
      </w:r>
      <w:r w:rsidRPr="00CA7395">
        <w:t>VET</w:t>
      </w:r>
      <w:r w:rsidR="00F34510">
        <w:rPr>
          <w:iCs/>
        </w:rPr>
        <w:t>−</w:t>
      </w:r>
      <w:r w:rsidRPr="00CA7395">
        <w:t xml:space="preserve">higher ed transfers and the structure of tertiary </w:t>
      </w:r>
      <w:r w:rsidRPr="00F34510">
        <w:rPr>
          <w:iCs/>
        </w:rPr>
        <w:t>education</w:t>
      </w:r>
      <w:r w:rsidR="00F34510">
        <w:rPr>
          <w:iCs/>
        </w:rPr>
        <w:t>’</w:t>
      </w:r>
      <w:r>
        <w:t>,</w:t>
      </w:r>
      <w:r w:rsidR="007D1C51">
        <w:t xml:space="preserve"> paper presented at </w:t>
      </w:r>
      <w:r w:rsidR="00F34510">
        <w:t>t</w:t>
      </w:r>
      <w:r w:rsidR="007D1C51">
        <w:t xml:space="preserve">he Sixth Australian VET Research Association Conference </w:t>
      </w:r>
      <w:r w:rsidR="007D1C51" w:rsidRPr="00CA7395">
        <w:rPr>
          <w:i/>
        </w:rPr>
        <w:t xml:space="preserve">The </w:t>
      </w:r>
      <w:r w:rsidR="00F34510" w:rsidRPr="00F34510">
        <w:rPr>
          <w:i/>
          <w:iCs/>
        </w:rPr>
        <w:t>changing face</w:t>
      </w:r>
      <w:r w:rsidR="00F34510" w:rsidRPr="00CA7395">
        <w:rPr>
          <w:i/>
        </w:rPr>
        <w:t xml:space="preserve"> </w:t>
      </w:r>
      <w:r w:rsidR="007D1C51" w:rsidRPr="00CA7395">
        <w:rPr>
          <w:i/>
        </w:rPr>
        <w:t>of VET</w:t>
      </w:r>
      <w:r>
        <w:t xml:space="preserve"> Sydney, </w:t>
      </w:r>
      <w:r w:rsidR="007D1C51">
        <w:t>9</w:t>
      </w:r>
      <w:r w:rsidR="00F34510">
        <w:t>−</w:t>
      </w:r>
      <w:r w:rsidR="007D1C51">
        <w:t xml:space="preserve">11 April 2003, </w:t>
      </w:r>
      <w:r>
        <w:t>&lt;http://www.avetra.org.au/abstracts_and_papers_2003/Moodie.pdf&gt;.</w:t>
      </w:r>
    </w:p>
    <w:p w14:paraId="66B05D59" w14:textId="271477D1" w:rsidR="000C7D27" w:rsidRPr="004C5A77" w:rsidRDefault="00F34510" w:rsidP="00B02EAA">
      <w:pPr>
        <w:pStyle w:val="References"/>
      </w:pPr>
      <w:r>
        <w:t>−−</w:t>
      </w:r>
      <w:r w:rsidR="000C7D27">
        <w:t xml:space="preserve">2005, </w:t>
      </w:r>
      <w:r w:rsidR="000C7D27">
        <w:rPr>
          <w:i/>
        </w:rPr>
        <w:t>Reverse transfer in Australia</w:t>
      </w:r>
      <w:r w:rsidR="000C7D27">
        <w:t>, paper presented at the 14</w:t>
      </w:r>
      <w:r w:rsidR="000C7D27" w:rsidRPr="004C5A77">
        <w:rPr>
          <w:vertAlign w:val="superscript"/>
        </w:rPr>
        <w:t>th</w:t>
      </w:r>
      <w:r w:rsidR="000C7D27">
        <w:t xml:space="preserve"> National Vocational Education and Training Research Conference, Wodonga, Victoria.</w:t>
      </w:r>
    </w:p>
    <w:p w14:paraId="16FA10C7" w14:textId="48510677" w:rsidR="000C7D27" w:rsidRPr="004C5A77" w:rsidRDefault="003D28CF" w:rsidP="00B02EAA">
      <w:pPr>
        <w:pStyle w:val="References"/>
      </w:pPr>
      <w:r>
        <w:t>−−</w:t>
      </w:r>
      <w:r w:rsidR="000C7D27">
        <w:t xml:space="preserve">2008, </w:t>
      </w:r>
      <w:r>
        <w:t>‘</w:t>
      </w:r>
      <w:r w:rsidR="000C7D27">
        <w:t>The significance of Australian vocational education institutions in opening access to higher education</w:t>
      </w:r>
      <w:r>
        <w:t>’</w:t>
      </w:r>
      <w:r w:rsidR="000C7D27">
        <w:t xml:space="preserve">, </w:t>
      </w:r>
      <w:r>
        <w:t>i</w:t>
      </w:r>
      <w:r w:rsidR="000C7D27">
        <w:t xml:space="preserve">n K Dougherty, J </w:t>
      </w:r>
      <w:proofErr w:type="spellStart"/>
      <w:r w:rsidR="000C7D27">
        <w:t>Gallacher</w:t>
      </w:r>
      <w:proofErr w:type="spellEnd"/>
      <w:r w:rsidR="000C7D27">
        <w:t>, K Jones, G Moodie, P Scott &amp; G Stanton (</w:t>
      </w:r>
      <w:r>
        <w:t>e</w:t>
      </w:r>
      <w:r w:rsidR="000C7D27">
        <w:t xml:space="preserve">ds), </w:t>
      </w:r>
      <w:r w:rsidR="000C7D27">
        <w:rPr>
          <w:i/>
        </w:rPr>
        <w:t>Universal access and dual regimes of further and higher education</w:t>
      </w:r>
      <w:r w:rsidR="000C7D27">
        <w:t>, University of Sheffield, Sheffield</w:t>
      </w:r>
      <w:r>
        <w:t>,</w:t>
      </w:r>
      <w:r w:rsidRPr="003D28CF">
        <w:t xml:space="preserve"> </w:t>
      </w:r>
      <w:r>
        <w:t>pp.26−34</w:t>
      </w:r>
      <w:r w:rsidR="000C7D27">
        <w:t>.</w:t>
      </w:r>
    </w:p>
    <w:p w14:paraId="126255EC" w14:textId="7BB533F0" w:rsidR="000C7D27" w:rsidRDefault="000C7D27" w:rsidP="00B02EAA">
      <w:pPr>
        <w:pStyle w:val="References"/>
      </w:pPr>
      <w:proofErr w:type="spellStart"/>
      <w:r>
        <w:t>Wheelahan</w:t>
      </w:r>
      <w:proofErr w:type="spellEnd"/>
      <w:r>
        <w:t xml:space="preserve">, L 2009, </w:t>
      </w:r>
      <w:r w:rsidR="003D28CF">
        <w:t>‘</w:t>
      </w:r>
      <w:r>
        <w:t xml:space="preserve">Do educational pathways contribute to equity in tertiary education in Australia?, </w:t>
      </w:r>
      <w:r>
        <w:rPr>
          <w:i/>
        </w:rPr>
        <w:t>Critical Studies in Education</w:t>
      </w:r>
      <w:r w:rsidR="00D046D7">
        <w:rPr>
          <w:i/>
        </w:rPr>
        <w:t>’</w:t>
      </w:r>
      <w:r>
        <w:t xml:space="preserve">, </w:t>
      </w:r>
      <w:r w:rsidR="00D046D7">
        <w:t>vol.</w:t>
      </w:r>
      <w:r w:rsidR="00D046D7" w:rsidRPr="00CA7395">
        <w:t>50</w:t>
      </w:r>
      <w:r w:rsidR="00D046D7">
        <w:t>, no.3, pp.</w:t>
      </w:r>
      <w:r>
        <w:t>261</w:t>
      </w:r>
      <w:r w:rsidR="00D046D7">
        <w:t>−</w:t>
      </w:r>
      <w:r>
        <w:t>75.</w:t>
      </w:r>
    </w:p>
    <w:p w14:paraId="6186F7FA" w14:textId="3970F7C1" w:rsidR="000C7D27" w:rsidRDefault="000C7D27" w:rsidP="000C7D27">
      <w:r>
        <w:br w:type="page"/>
      </w:r>
    </w:p>
    <w:p w14:paraId="13D0F587" w14:textId="282A7593" w:rsidR="004134E3" w:rsidRDefault="004134E3" w:rsidP="00E612BF">
      <w:pPr>
        <w:pStyle w:val="Heading1"/>
      </w:pPr>
      <w:bookmarkStart w:id="140" w:name="_Toc19803930"/>
      <w:r>
        <w:lastRenderedPageBreak/>
        <w:t>Initial outcomes from VET</w:t>
      </w:r>
      <w:r w:rsidR="004318E4">
        <w:t xml:space="preserve"> </w:t>
      </w:r>
      <w:r>
        <w:t>in</w:t>
      </w:r>
      <w:r w:rsidR="004318E4">
        <w:t xml:space="preserve"> S</w:t>
      </w:r>
      <w:r>
        <w:t>chools programs in Australia</w:t>
      </w:r>
      <w:bookmarkEnd w:id="140"/>
    </w:p>
    <w:p w14:paraId="5267E76D" w14:textId="57988561" w:rsidR="004134E3" w:rsidRPr="00CA7395" w:rsidRDefault="004134E3" w:rsidP="004134E3">
      <w:pPr>
        <w:pStyle w:val="Text"/>
        <w:rPr>
          <w:i/>
          <w:sz w:val="22"/>
          <w:szCs w:val="22"/>
        </w:rPr>
      </w:pPr>
      <w:r w:rsidRPr="00CA7395">
        <w:rPr>
          <w:i/>
          <w:sz w:val="22"/>
          <w:szCs w:val="22"/>
        </w:rPr>
        <w:t xml:space="preserve">Cain </w:t>
      </w:r>
      <w:proofErr w:type="spellStart"/>
      <w:r w:rsidRPr="00CA7395">
        <w:rPr>
          <w:i/>
          <w:sz w:val="22"/>
          <w:szCs w:val="22"/>
        </w:rPr>
        <w:t>Polidano</w:t>
      </w:r>
      <w:proofErr w:type="spellEnd"/>
      <w:r w:rsidR="002520D7">
        <w:rPr>
          <w:i/>
          <w:sz w:val="22"/>
          <w:szCs w:val="22"/>
        </w:rPr>
        <w:t>, University of Melbourne</w:t>
      </w:r>
      <w:r w:rsidR="002520D7">
        <w:rPr>
          <w:i/>
          <w:sz w:val="22"/>
          <w:szCs w:val="22"/>
        </w:rPr>
        <w:br/>
      </w:r>
      <w:r w:rsidRPr="00CA7395">
        <w:rPr>
          <w:i/>
          <w:sz w:val="22"/>
          <w:szCs w:val="22"/>
        </w:rPr>
        <w:t>Domenico T</w:t>
      </w:r>
      <w:r w:rsidR="00232792" w:rsidRPr="00CA7395">
        <w:rPr>
          <w:i/>
          <w:sz w:val="22"/>
          <w:szCs w:val="22"/>
        </w:rPr>
        <w:t>a</w:t>
      </w:r>
      <w:r w:rsidRPr="00CA7395">
        <w:rPr>
          <w:i/>
          <w:sz w:val="22"/>
          <w:szCs w:val="22"/>
        </w:rPr>
        <w:t>basso</w:t>
      </w:r>
      <w:r w:rsidR="002520D7">
        <w:rPr>
          <w:i/>
          <w:sz w:val="22"/>
          <w:szCs w:val="22"/>
        </w:rPr>
        <w:t>, International Labour Organization</w:t>
      </w:r>
    </w:p>
    <w:p w14:paraId="772620F4" w14:textId="581B4F4C" w:rsidR="004134E3" w:rsidRPr="004134E3" w:rsidRDefault="004134E3" w:rsidP="004134E3">
      <w:pPr>
        <w:pStyle w:val="Text"/>
        <w:rPr>
          <w:i/>
        </w:rPr>
      </w:pPr>
      <w:r w:rsidRPr="004134E3">
        <w:rPr>
          <w:i/>
        </w:rPr>
        <w:t>This paper is a summary of a paper by the authors</w:t>
      </w:r>
      <w:r w:rsidR="00110C43" w:rsidRPr="004134E3">
        <w:rPr>
          <w:i/>
        </w:rPr>
        <w:t xml:space="preserve"> published</w:t>
      </w:r>
      <w:r w:rsidR="00110C43">
        <w:rPr>
          <w:i/>
        </w:rPr>
        <w:t xml:space="preserve"> in 2014</w:t>
      </w:r>
      <w:r w:rsidR="00FD3331">
        <w:rPr>
          <w:i/>
        </w:rPr>
        <w:t xml:space="preserve">, entitled </w:t>
      </w:r>
      <w:r w:rsidR="00FD3331" w:rsidRPr="00FD3331">
        <w:rPr>
          <w:i/>
          <w:iCs/>
        </w:rPr>
        <w:t>‘Making it real: the benefits of workplace learning in upper-secondary vocational education and training courses</w:t>
      </w:r>
      <w:r w:rsidR="002520D7">
        <w:rPr>
          <w:i/>
          <w:iCs/>
        </w:rPr>
        <w:t xml:space="preserve">, </w:t>
      </w:r>
      <w:r w:rsidR="002520D7">
        <w:rPr>
          <w:iCs/>
        </w:rPr>
        <w:t>Economics of Education Review</w:t>
      </w:r>
      <w:r w:rsidR="002520D7">
        <w:rPr>
          <w:i/>
          <w:iCs/>
        </w:rPr>
        <w:t>, vol.42</w:t>
      </w:r>
      <w:r w:rsidR="002520D7">
        <w:rPr>
          <w:iCs/>
        </w:rPr>
        <w:t xml:space="preserve">, </w:t>
      </w:r>
      <w:r w:rsidR="002520D7" w:rsidRPr="002520D7">
        <w:rPr>
          <w:i/>
          <w:iCs/>
        </w:rPr>
        <w:t>pp. 130-146</w:t>
      </w:r>
      <w:r w:rsidR="00FD3331" w:rsidRPr="002520D7">
        <w:rPr>
          <w:i/>
          <w:iCs/>
        </w:rPr>
        <w:t>.</w:t>
      </w:r>
    </w:p>
    <w:p w14:paraId="67C1FB5F" w14:textId="77777777" w:rsidR="004134E3" w:rsidRDefault="004134E3" w:rsidP="004134E3">
      <w:pPr>
        <w:pStyle w:val="Heading2"/>
      </w:pPr>
      <w:bookmarkStart w:id="141" w:name="_Toc15048918"/>
      <w:bookmarkStart w:id="142" w:name="_Toc19803931"/>
      <w:r>
        <w:t>Introduction</w:t>
      </w:r>
      <w:bookmarkEnd w:id="141"/>
      <w:bookmarkEnd w:id="142"/>
    </w:p>
    <w:p w14:paraId="17D5614D" w14:textId="1904CF6B" w:rsidR="004134E3" w:rsidRDefault="004134E3" w:rsidP="004134E3">
      <w:pPr>
        <w:pStyle w:val="Text"/>
      </w:pPr>
      <w:r>
        <w:t>VET</w:t>
      </w:r>
      <w:r w:rsidR="008755DB">
        <w:t xml:space="preserve"> </w:t>
      </w:r>
      <w:r>
        <w:t>in</w:t>
      </w:r>
      <w:r w:rsidR="008755DB">
        <w:t xml:space="preserve"> S</w:t>
      </w:r>
      <w:r>
        <w:t xml:space="preserve">chools in Australia was introduced in upper-secondary school (the last two years of secondary school) in the mid-1990s </w:t>
      </w:r>
      <w:r w:rsidR="004F270B">
        <w:t>with the aim of</w:t>
      </w:r>
      <w:r>
        <w:t xml:space="preserve"> retain</w:t>
      </w:r>
      <w:r w:rsidR="004F270B">
        <w:t>ing</w:t>
      </w:r>
      <w:r>
        <w:t xml:space="preserve"> less academic youth in school and prepar</w:t>
      </w:r>
      <w:r w:rsidR="00863E4A">
        <w:t>ing</w:t>
      </w:r>
      <w:r>
        <w:t xml:space="preserve"> students for work and further training (Ministerial Council on Employment</w:t>
      </w:r>
      <w:r w:rsidR="00D85207">
        <w:t>,</w:t>
      </w:r>
      <w:r>
        <w:t xml:space="preserve"> Education</w:t>
      </w:r>
      <w:r w:rsidR="004318E4">
        <w:t>,</w:t>
      </w:r>
      <w:r>
        <w:t xml:space="preserve"> Training and Youth Affairs 1999). Today, </w:t>
      </w:r>
      <w:r w:rsidR="003974CB">
        <w:t xml:space="preserve">VET in Schools </w:t>
      </w:r>
      <w:r>
        <w:t>programs are highly integrated into the school curriculum, with over 95% of secondary schools offering</w:t>
      </w:r>
      <w:r w:rsidR="0004054E">
        <w:t xml:space="preserve"> vocational education and training</w:t>
      </w:r>
      <w:r>
        <w:t xml:space="preserve"> </w:t>
      </w:r>
      <w:r w:rsidR="0004054E">
        <w:t>(</w:t>
      </w:r>
      <w:r>
        <w:t>VET</w:t>
      </w:r>
      <w:r w:rsidR="0004054E">
        <w:t>)</w:t>
      </w:r>
      <w:r>
        <w:t xml:space="preserve"> subjects (</w:t>
      </w:r>
      <w:r w:rsidR="00EB3023">
        <w:t xml:space="preserve">Ministerial Council on Employment, Education and Youth Affairs </w:t>
      </w:r>
      <w:r>
        <w:t>2003) and around 40% of all upper-secondary students undertaking at least one subject (NCVER 2011).</w:t>
      </w:r>
    </w:p>
    <w:p w14:paraId="70028F20" w14:textId="713FB0D6" w:rsidR="004134E3" w:rsidRDefault="004134E3" w:rsidP="008306B3">
      <w:pPr>
        <w:pStyle w:val="Text"/>
      </w:pPr>
      <w:r>
        <w:t>A feature of the Australian model is that almost all VET subjects count, in part or in full, towards a nationally accredited VET qualification (NCVER 2011)</w:t>
      </w:r>
      <w:r w:rsidRPr="00E0302A">
        <w:rPr>
          <w:rStyle w:val="FootnoteReference"/>
          <w:rFonts w:ascii="Trebuchet MS" w:hAnsi="Trebuchet MS"/>
          <w:vertAlign w:val="superscript"/>
        </w:rPr>
        <w:footnoteReference w:id="4"/>
      </w:r>
      <w:r w:rsidR="004A1B8E">
        <w:t>,</w:t>
      </w:r>
      <w:r>
        <w:t xml:space="preserve"> which is based on demonstration of minimum competency in job-related skills (job-specific and generic), as stipulated in national training packages.</w:t>
      </w:r>
      <w:r w:rsidRPr="00E0302A">
        <w:rPr>
          <w:rStyle w:val="FootnoteReference"/>
          <w:rFonts w:ascii="Trebuchet MS" w:hAnsi="Trebuchet MS"/>
          <w:vertAlign w:val="superscript"/>
        </w:rPr>
        <w:footnoteReference w:id="5"/>
      </w:r>
      <w:r>
        <w:t xml:space="preserve"> In programs outside apprenticeships and traineeships, which we call ‘classroom-based VET’ in this study, schools/providers can choose whether or not minimum competencies are developed in the workplace, called ‘workplace learning’. In courses that do not include workplace learning, schools/providers instead typically provide a classroom environment (with suitable equipment) that simulates the workplace. </w:t>
      </w:r>
      <w:r w:rsidR="004F3F64">
        <w:t xml:space="preserve">In </w:t>
      </w:r>
      <w:r>
        <w:t>practice, the decision to use workplace learning as part of a VET</w:t>
      </w:r>
      <w:r w:rsidR="00F168E3">
        <w:t xml:space="preserve"> </w:t>
      </w:r>
      <w:r>
        <w:t>in</w:t>
      </w:r>
      <w:r w:rsidR="00F168E3">
        <w:t xml:space="preserve"> S</w:t>
      </w:r>
      <w:r>
        <w:t>chool</w:t>
      </w:r>
      <w:r w:rsidR="00F168E3">
        <w:t>s</w:t>
      </w:r>
      <w:r>
        <w:t xml:space="preserve"> subject depends on many factors, including student demand, school resources to coordinate and manage placements, the availability and willingness of local employers to be involved and the cost of providing a work environment within the classroom. Estimates from Ryan (2002) suggest that around 60% of all students who take a </w:t>
      </w:r>
      <w:r w:rsidR="003974CB">
        <w:t xml:space="preserve">VET in Schools </w:t>
      </w:r>
      <w:r>
        <w:t>course get some structured workplace learning</w:t>
      </w:r>
      <w:r w:rsidR="00CD2663">
        <w:t>,</w:t>
      </w:r>
      <w:r>
        <w:t xml:space="preserve"> which typically involves about 15 days per annum.</w:t>
      </w:r>
      <w:r w:rsidRPr="00E0302A">
        <w:rPr>
          <w:rStyle w:val="FootnoteReference"/>
          <w:rFonts w:ascii="Trebuchet MS" w:hAnsi="Trebuchet MS"/>
          <w:vertAlign w:val="superscript"/>
        </w:rPr>
        <w:footnoteReference w:id="6"/>
      </w:r>
    </w:p>
    <w:p w14:paraId="2D39BBC2" w14:textId="4EADD52E" w:rsidR="004134E3" w:rsidRDefault="004134E3" w:rsidP="008306B3">
      <w:pPr>
        <w:pStyle w:val="Text"/>
      </w:pPr>
      <w:r>
        <w:t xml:space="preserve">In this study we estimate the education and employment outcomes in the first year out from school </w:t>
      </w:r>
      <w:r w:rsidR="007679B4">
        <w:t>for</w:t>
      </w:r>
      <w:r>
        <w:t xml:space="preserve"> students who participated in upper-secondary </w:t>
      </w:r>
      <w:r w:rsidR="003974CB">
        <w:t xml:space="preserve">VET in Schools </w:t>
      </w:r>
      <w:r>
        <w:t xml:space="preserve">programs compared </w:t>
      </w:r>
      <w:r w:rsidR="00CD2663">
        <w:t xml:space="preserve">with </w:t>
      </w:r>
      <w:r>
        <w:t>those who did not, controlling for differences in student characteristics</w:t>
      </w:r>
      <w:r w:rsidR="0054481C">
        <w:t>, which</w:t>
      </w:r>
      <w:r>
        <w:t xml:space="preserve"> may also affect outcomes. A feature of this paper over and above previous Australian studies, including Anlezark</w:t>
      </w:r>
      <w:r w:rsidR="00C65431">
        <w:t>, Karmel and Ong</w:t>
      </w:r>
      <w:r>
        <w:t xml:space="preserve"> (2006) and Lamb and Vickers (2006)</w:t>
      </w:r>
      <w:r w:rsidR="00814714">
        <w:t>,</w:t>
      </w:r>
      <w:r>
        <w:t xml:space="preserve"> and international </w:t>
      </w:r>
      <w:r>
        <w:lastRenderedPageBreak/>
        <w:t>studies</w:t>
      </w:r>
      <w:r w:rsidR="00814714">
        <w:t>,</w:t>
      </w:r>
      <w:r>
        <w:t xml:space="preserve"> such as Bishop and Mane (2004) and Meer (2007), is that we pool data from the 2003 and 2006 cohorts of the Longitudinal Surveys of Australian Youth</w:t>
      </w:r>
      <w:r w:rsidR="0004054E">
        <w:t xml:space="preserve"> (LSAY)</w:t>
      </w:r>
      <w:r>
        <w:t xml:space="preserve"> to measure </w:t>
      </w:r>
      <w:r w:rsidR="00814714">
        <w:t xml:space="preserve">the </w:t>
      </w:r>
      <w:r>
        <w:t>outcomes of three VET</w:t>
      </w:r>
      <w:r w:rsidR="00814714">
        <w:t xml:space="preserve"> </w:t>
      </w:r>
      <w:r>
        <w:t>in</w:t>
      </w:r>
      <w:r w:rsidR="00814714">
        <w:t xml:space="preserve"> S</w:t>
      </w:r>
      <w:r>
        <w:t>chool</w:t>
      </w:r>
      <w:r w:rsidR="00814714">
        <w:t>s</w:t>
      </w:r>
      <w:r>
        <w:t xml:space="preserve"> models with different intensities of workplace learning:</w:t>
      </w:r>
    </w:p>
    <w:p w14:paraId="1AE4C224" w14:textId="4161A9E2" w:rsidR="004134E3" w:rsidRDefault="00814714" w:rsidP="008306B3">
      <w:pPr>
        <w:pStyle w:val="Text"/>
        <w:numPr>
          <w:ilvl w:val="0"/>
          <w:numId w:val="29"/>
        </w:numPr>
      </w:pPr>
      <w:r>
        <w:t>c</w:t>
      </w:r>
      <w:r w:rsidR="004134E3">
        <w:t>lassroom-based VET without workplace learning</w:t>
      </w:r>
    </w:p>
    <w:p w14:paraId="54F8AF8D" w14:textId="4AD69217" w:rsidR="004134E3" w:rsidRDefault="006E4DE8" w:rsidP="008306B3">
      <w:pPr>
        <w:pStyle w:val="Text"/>
        <w:numPr>
          <w:ilvl w:val="0"/>
          <w:numId w:val="29"/>
        </w:numPr>
      </w:pPr>
      <w:r>
        <w:t>c</w:t>
      </w:r>
      <w:r w:rsidR="004134E3">
        <w:t>lassroom-based VET with workplace learning</w:t>
      </w:r>
    </w:p>
    <w:p w14:paraId="63739135" w14:textId="6BF2F3EE" w:rsidR="004134E3" w:rsidRDefault="006E4DE8" w:rsidP="008306B3">
      <w:pPr>
        <w:pStyle w:val="Text"/>
        <w:numPr>
          <w:ilvl w:val="0"/>
          <w:numId w:val="29"/>
        </w:numPr>
      </w:pPr>
      <w:r>
        <w:t>a</w:t>
      </w:r>
      <w:r w:rsidR="004134E3">
        <w:t>pprenticeships/traineeships.</w:t>
      </w:r>
    </w:p>
    <w:p w14:paraId="6396880D" w14:textId="77777777" w:rsidR="004134E3" w:rsidRDefault="004134E3" w:rsidP="004134E3">
      <w:pPr>
        <w:pStyle w:val="Heading2"/>
      </w:pPr>
      <w:bookmarkStart w:id="143" w:name="_Toc15048919"/>
      <w:bookmarkStart w:id="144" w:name="_Toc19803932"/>
      <w:r>
        <w:t>Data</w:t>
      </w:r>
      <w:bookmarkEnd w:id="143"/>
      <w:bookmarkEnd w:id="144"/>
    </w:p>
    <w:p w14:paraId="20EE46D9" w14:textId="7A50B4DE" w:rsidR="004134E3" w:rsidRDefault="004134E3" w:rsidP="00CA22C2">
      <w:pPr>
        <w:pStyle w:val="Text"/>
      </w:pPr>
      <w:r>
        <w:t xml:space="preserve">Because we only observe participation in </w:t>
      </w:r>
      <w:r w:rsidR="003974CB">
        <w:t xml:space="preserve">VET in Schools </w:t>
      </w:r>
      <w:r>
        <w:t>during upper-secondary school, we limit the sample to those who are observed to at least commence study in upper-secondary school (in most cases, students who remain in school until age 16</w:t>
      </w:r>
      <w:r w:rsidR="006E519F">
        <w:t xml:space="preserve"> years</w:t>
      </w:r>
      <w:r>
        <w:t xml:space="preserve">). Students are identified </w:t>
      </w:r>
      <w:r w:rsidR="006E519F">
        <w:t>as</w:t>
      </w:r>
      <w:r>
        <w:t xml:space="preserve"> participat</w:t>
      </w:r>
      <w:r w:rsidR="006E519F">
        <w:t>ing</w:t>
      </w:r>
      <w:r>
        <w:t xml:space="preserve"> in </w:t>
      </w:r>
      <w:r w:rsidR="003974CB">
        <w:t xml:space="preserve">VET in Schools </w:t>
      </w:r>
      <w:r>
        <w:t>i</w:t>
      </w:r>
      <w:r w:rsidR="005C13D5">
        <w:t>f</w:t>
      </w:r>
      <w:r>
        <w:t xml:space="preserve"> they report enrolling in a VET subject in upper-secondary school (Year 11 or 12). Students who left school prior to Year 11 are omitted from the sample</w:t>
      </w:r>
      <w:r w:rsidR="0064180F">
        <w:t>,</w:t>
      </w:r>
      <w:r>
        <w:t xml:space="preserve"> while for students who left school at the end of Year 11 we used information from VET participation in that year. In each year of upper-secondary school in LSAY, students who report taking at least one VET subject are aske</w:t>
      </w:r>
      <w:r w:rsidR="0064180F">
        <w:t>d</w:t>
      </w:r>
      <w:r>
        <w:t xml:space="preserve"> the field of study of each subject, whether each subject is part of an apprenticeship/traineeship and the total time spent in workplace learning in all VET subjects.</w:t>
      </w:r>
    </w:p>
    <w:p w14:paraId="7020AA6D" w14:textId="0331794E" w:rsidR="004134E3" w:rsidRPr="00FE17FC" w:rsidRDefault="004134E3" w:rsidP="00464447">
      <w:pPr>
        <w:pStyle w:val="Figuretitle"/>
        <w:rPr>
          <w:lang w:val="en-GB"/>
        </w:rPr>
      </w:pPr>
      <w:bookmarkStart w:id="145" w:name="_Toc19001671"/>
      <w:r w:rsidRPr="00FE17FC">
        <w:t>Table 1</w:t>
      </w:r>
      <w:r w:rsidR="00061C61">
        <w:t>4</w:t>
      </w:r>
      <w:r w:rsidR="001A3EB9">
        <w:tab/>
      </w:r>
      <w:r w:rsidRPr="00FE17FC">
        <w:t>Sample of analysis</w:t>
      </w:r>
      <w:bookmarkEnd w:id="145"/>
    </w:p>
    <w:tbl>
      <w:tblPr>
        <w:tblpPr w:leftFromText="180" w:rightFromText="180" w:vertAnchor="text" w:horzAnchor="margin" w:tblpY="19"/>
        <w:tblW w:w="5000" w:type="pct"/>
        <w:tblCellMar>
          <w:left w:w="0" w:type="dxa"/>
          <w:right w:w="0" w:type="dxa"/>
        </w:tblCellMar>
        <w:tblLook w:val="04A0" w:firstRow="1" w:lastRow="0" w:firstColumn="1" w:lastColumn="0" w:noHBand="0" w:noVBand="1"/>
      </w:tblPr>
      <w:tblGrid>
        <w:gridCol w:w="4396"/>
        <w:gridCol w:w="849"/>
        <w:gridCol w:w="1133"/>
        <w:gridCol w:w="994"/>
        <w:gridCol w:w="565"/>
      </w:tblGrid>
      <w:tr w:rsidR="004134E3" w:rsidRPr="00FE17FC" w14:paraId="794495D3" w14:textId="77777777" w:rsidTr="001A3EB9">
        <w:trPr>
          <w:trHeight w:val="330"/>
        </w:trPr>
        <w:tc>
          <w:tcPr>
            <w:tcW w:w="2769" w:type="pct"/>
            <w:tcBorders>
              <w:top w:val="single" w:sz="4" w:space="0" w:color="auto"/>
              <w:left w:val="nil"/>
              <w:bottom w:val="single" w:sz="4" w:space="0" w:color="auto"/>
              <w:right w:val="nil"/>
            </w:tcBorders>
            <w:shd w:val="clear" w:color="auto" w:fill="auto"/>
            <w:vAlign w:val="bottom"/>
          </w:tcPr>
          <w:p w14:paraId="30370F42" w14:textId="77777777" w:rsidR="004134E3" w:rsidRPr="00FE17FC" w:rsidRDefault="004134E3" w:rsidP="00CA22C2">
            <w:pPr>
              <w:pStyle w:val="Tabletext"/>
            </w:pPr>
          </w:p>
        </w:tc>
        <w:tc>
          <w:tcPr>
            <w:tcW w:w="535" w:type="pct"/>
            <w:tcBorders>
              <w:top w:val="single" w:sz="4" w:space="0" w:color="auto"/>
              <w:left w:val="nil"/>
              <w:bottom w:val="single" w:sz="4" w:space="0" w:color="auto"/>
              <w:right w:val="nil"/>
            </w:tcBorders>
            <w:vAlign w:val="bottom"/>
          </w:tcPr>
          <w:p w14:paraId="4B5133F6" w14:textId="77777777" w:rsidR="004134E3" w:rsidRPr="001A3EB9" w:rsidRDefault="004134E3" w:rsidP="001A3EB9">
            <w:pPr>
              <w:pStyle w:val="Tabletext"/>
              <w:jc w:val="right"/>
              <w:rPr>
                <w:b/>
              </w:rPr>
            </w:pPr>
            <w:r w:rsidRPr="001A3EB9">
              <w:rPr>
                <w:b/>
              </w:rPr>
              <w:t>LSAY 2003</w:t>
            </w:r>
          </w:p>
        </w:tc>
        <w:tc>
          <w:tcPr>
            <w:tcW w:w="714" w:type="pct"/>
            <w:tcBorders>
              <w:top w:val="single" w:sz="4" w:space="0" w:color="auto"/>
              <w:left w:val="nil"/>
              <w:bottom w:val="single" w:sz="4" w:space="0" w:color="auto"/>
              <w:right w:val="nil"/>
            </w:tcBorders>
            <w:shd w:val="clear" w:color="auto" w:fill="auto"/>
            <w:vAlign w:val="bottom"/>
          </w:tcPr>
          <w:p w14:paraId="05434E2B" w14:textId="77777777" w:rsidR="004134E3" w:rsidRPr="001A3EB9" w:rsidRDefault="004134E3" w:rsidP="001A3EB9">
            <w:pPr>
              <w:pStyle w:val="Tabletext"/>
              <w:jc w:val="right"/>
              <w:rPr>
                <w:b/>
              </w:rPr>
            </w:pPr>
            <w:r w:rsidRPr="001A3EB9">
              <w:rPr>
                <w:b/>
              </w:rPr>
              <w:t>LSAY 2006</w:t>
            </w:r>
          </w:p>
        </w:tc>
        <w:tc>
          <w:tcPr>
            <w:tcW w:w="626" w:type="pct"/>
            <w:tcBorders>
              <w:top w:val="single" w:sz="4" w:space="0" w:color="auto"/>
              <w:left w:val="nil"/>
              <w:bottom w:val="single" w:sz="4" w:space="0" w:color="auto"/>
              <w:right w:val="nil"/>
            </w:tcBorders>
            <w:shd w:val="clear" w:color="auto" w:fill="auto"/>
            <w:vAlign w:val="bottom"/>
          </w:tcPr>
          <w:p w14:paraId="021A8D62" w14:textId="77777777" w:rsidR="004134E3" w:rsidRPr="001A3EB9" w:rsidRDefault="004134E3" w:rsidP="001A3EB9">
            <w:pPr>
              <w:pStyle w:val="Tabletext"/>
              <w:jc w:val="right"/>
              <w:rPr>
                <w:b/>
              </w:rPr>
            </w:pPr>
            <w:r w:rsidRPr="001A3EB9">
              <w:rPr>
                <w:b/>
              </w:rPr>
              <w:t>Total</w:t>
            </w:r>
          </w:p>
        </w:tc>
        <w:tc>
          <w:tcPr>
            <w:tcW w:w="356" w:type="pct"/>
            <w:tcBorders>
              <w:top w:val="single" w:sz="4" w:space="0" w:color="auto"/>
              <w:left w:val="nil"/>
              <w:bottom w:val="single" w:sz="4" w:space="0" w:color="auto"/>
              <w:right w:val="nil"/>
            </w:tcBorders>
            <w:vAlign w:val="bottom"/>
          </w:tcPr>
          <w:p w14:paraId="4FAEA033" w14:textId="77777777" w:rsidR="004134E3" w:rsidRPr="001A3EB9" w:rsidRDefault="004134E3" w:rsidP="001A3EB9">
            <w:pPr>
              <w:pStyle w:val="Tabletext"/>
              <w:jc w:val="right"/>
              <w:rPr>
                <w:b/>
              </w:rPr>
            </w:pPr>
            <w:r w:rsidRPr="001A3EB9">
              <w:rPr>
                <w:b/>
              </w:rPr>
              <w:t>%</w:t>
            </w:r>
          </w:p>
        </w:tc>
      </w:tr>
      <w:tr w:rsidR="004134E3" w:rsidRPr="00FE17FC" w14:paraId="7D0E6176" w14:textId="77777777" w:rsidTr="001A3EB9">
        <w:trPr>
          <w:trHeight w:val="330"/>
        </w:trPr>
        <w:tc>
          <w:tcPr>
            <w:tcW w:w="2769" w:type="pct"/>
            <w:tcBorders>
              <w:top w:val="nil"/>
              <w:left w:val="nil"/>
              <w:bottom w:val="nil"/>
              <w:right w:val="nil"/>
            </w:tcBorders>
            <w:shd w:val="clear" w:color="auto" w:fill="auto"/>
            <w:vAlign w:val="bottom"/>
          </w:tcPr>
          <w:p w14:paraId="5734B391" w14:textId="05F713F1" w:rsidR="004134E3" w:rsidRPr="00FE17FC" w:rsidRDefault="004134E3" w:rsidP="00CA22C2">
            <w:pPr>
              <w:pStyle w:val="Tabletext"/>
            </w:pPr>
            <w:r w:rsidRPr="00FE17FC">
              <w:t xml:space="preserve">No </w:t>
            </w:r>
            <w:r w:rsidR="003974CB">
              <w:t xml:space="preserve">VET in Schools </w:t>
            </w:r>
            <w:r w:rsidRPr="00FE17FC">
              <w:t xml:space="preserve"> </w:t>
            </w:r>
          </w:p>
        </w:tc>
        <w:tc>
          <w:tcPr>
            <w:tcW w:w="535" w:type="pct"/>
            <w:tcBorders>
              <w:top w:val="nil"/>
              <w:left w:val="nil"/>
              <w:bottom w:val="nil"/>
              <w:right w:val="nil"/>
            </w:tcBorders>
            <w:vAlign w:val="bottom"/>
          </w:tcPr>
          <w:p w14:paraId="1BD99B84" w14:textId="530675F2" w:rsidR="004134E3" w:rsidRPr="00FE17FC" w:rsidRDefault="004134E3" w:rsidP="001A3EB9">
            <w:pPr>
              <w:pStyle w:val="Tabletext"/>
              <w:jc w:val="right"/>
            </w:pPr>
            <w:r w:rsidRPr="00FE17FC">
              <w:t>5</w:t>
            </w:r>
            <w:r w:rsidR="00E0302A">
              <w:t xml:space="preserve"> </w:t>
            </w:r>
            <w:r w:rsidRPr="00FE17FC">
              <w:t>892</w:t>
            </w:r>
          </w:p>
        </w:tc>
        <w:tc>
          <w:tcPr>
            <w:tcW w:w="714" w:type="pct"/>
            <w:tcBorders>
              <w:top w:val="nil"/>
              <w:left w:val="nil"/>
              <w:bottom w:val="nil"/>
              <w:right w:val="nil"/>
            </w:tcBorders>
            <w:shd w:val="clear" w:color="auto" w:fill="auto"/>
            <w:vAlign w:val="bottom"/>
          </w:tcPr>
          <w:p w14:paraId="062FE8A1" w14:textId="5F9A5886" w:rsidR="004134E3" w:rsidRPr="00FE17FC" w:rsidRDefault="004134E3" w:rsidP="001A3EB9">
            <w:pPr>
              <w:pStyle w:val="Tabletext"/>
              <w:jc w:val="right"/>
            </w:pPr>
            <w:r w:rsidRPr="00FE17FC">
              <w:t>5</w:t>
            </w:r>
            <w:r w:rsidR="00E0302A">
              <w:t xml:space="preserve"> </w:t>
            </w:r>
            <w:r w:rsidRPr="00FE17FC">
              <w:t>264</w:t>
            </w:r>
          </w:p>
        </w:tc>
        <w:tc>
          <w:tcPr>
            <w:tcW w:w="626" w:type="pct"/>
            <w:tcBorders>
              <w:top w:val="nil"/>
              <w:left w:val="nil"/>
              <w:bottom w:val="nil"/>
              <w:right w:val="nil"/>
            </w:tcBorders>
            <w:shd w:val="clear" w:color="auto" w:fill="auto"/>
            <w:vAlign w:val="bottom"/>
          </w:tcPr>
          <w:p w14:paraId="76FC1B83" w14:textId="1CF6166B" w:rsidR="004134E3" w:rsidRPr="00FE17FC" w:rsidRDefault="004134E3" w:rsidP="001A3EB9">
            <w:pPr>
              <w:pStyle w:val="Tabletext"/>
              <w:jc w:val="right"/>
            </w:pPr>
            <w:r w:rsidRPr="00FE17FC">
              <w:t>11</w:t>
            </w:r>
            <w:r w:rsidR="00E0302A">
              <w:t xml:space="preserve"> </w:t>
            </w:r>
            <w:r w:rsidRPr="00FE17FC">
              <w:t>156</w:t>
            </w:r>
          </w:p>
        </w:tc>
        <w:tc>
          <w:tcPr>
            <w:tcW w:w="356" w:type="pct"/>
            <w:tcBorders>
              <w:top w:val="nil"/>
              <w:left w:val="nil"/>
              <w:bottom w:val="nil"/>
              <w:right w:val="nil"/>
            </w:tcBorders>
            <w:vAlign w:val="bottom"/>
          </w:tcPr>
          <w:p w14:paraId="40B8652E" w14:textId="77777777" w:rsidR="004134E3" w:rsidRPr="00FE17FC" w:rsidRDefault="004134E3" w:rsidP="001A3EB9">
            <w:pPr>
              <w:pStyle w:val="Tabletext"/>
              <w:jc w:val="right"/>
            </w:pPr>
            <w:r w:rsidRPr="00FE17FC">
              <w:t>71</w:t>
            </w:r>
          </w:p>
        </w:tc>
      </w:tr>
      <w:tr w:rsidR="004134E3" w:rsidRPr="00FE17FC" w14:paraId="17240EB8" w14:textId="77777777" w:rsidTr="001A3EB9">
        <w:trPr>
          <w:trHeight w:val="330"/>
        </w:trPr>
        <w:tc>
          <w:tcPr>
            <w:tcW w:w="2769" w:type="pct"/>
            <w:tcBorders>
              <w:top w:val="nil"/>
              <w:left w:val="nil"/>
              <w:bottom w:val="nil"/>
              <w:right w:val="nil"/>
            </w:tcBorders>
            <w:shd w:val="clear" w:color="auto" w:fill="auto"/>
            <w:vAlign w:val="bottom"/>
          </w:tcPr>
          <w:p w14:paraId="2BBDDE36" w14:textId="720EDE19" w:rsidR="004134E3" w:rsidRPr="00FE17FC" w:rsidRDefault="003974CB" w:rsidP="00CA22C2">
            <w:pPr>
              <w:pStyle w:val="Tabletext"/>
            </w:pPr>
            <w:r>
              <w:t xml:space="preserve">VET in Schools </w:t>
            </w:r>
          </w:p>
        </w:tc>
        <w:tc>
          <w:tcPr>
            <w:tcW w:w="535" w:type="pct"/>
            <w:tcBorders>
              <w:top w:val="nil"/>
              <w:left w:val="nil"/>
              <w:bottom w:val="nil"/>
              <w:right w:val="nil"/>
            </w:tcBorders>
            <w:vAlign w:val="bottom"/>
          </w:tcPr>
          <w:p w14:paraId="2E02784A" w14:textId="765A61D6" w:rsidR="004134E3" w:rsidRPr="00FE17FC" w:rsidRDefault="004134E3" w:rsidP="001A3EB9">
            <w:pPr>
              <w:pStyle w:val="Tabletext"/>
              <w:jc w:val="right"/>
            </w:pPr>
            <w:r w:rsidRPr="00FE17FC">
              <w:t>2</w:t>
            </w:r>
            <w:r w:rsidR="00E0302A">
              <w:t xml:space="preserve"> </w:t>
            </w:r>
            <w:r w:rsidRPr="00FE17FC">
              <w:t>315</w:t>
            </w:r>
          </w:p>
        </w:tc>
        <w:tc>
          <w:tcPr>
            <w:tcW w:w="714" w:type="pct"/>
            <w:tcBorders>
              <w:top w:val="nil"/>
              <w:left w:val="nil"/>
              <w:bottom w:val="nil"/>
              <w:right w:val="nil"/>
            </w:tcBorders>
            <w:shd w:val="clear" w:color="auto" w:fill="auto"/>
            <w:vAlign w:val="bottom"/>
          </w:tcPr>
          <w:p w14:paraId="2FCD6AFA" w14:textId="78678659" w:rsidR="004134E3" w:rsidRPr="00FE17FC" w:rsidRDefault="004134E3" w:rsidP="001A3EB9">
            <w:pPr>
              <w:pStyle w:val="Tabletext"/>
              <w:jc w:val="right"/>
            </w:pPr>
            <w:r w:rsidRPr="00FE17FC">
              <w:t>2</w:t>
            </w:r>
            <w:r w:rsidR="00E0302A">
              <w:t xml:space="preserve"> </w:t>
            </w:r>
            <w:r w:rsidRPr="00FE17FC">
              <w:t>156</w:t>
            </w:r>
          </w:p>
        </w:tc>
        <w:tc>
          <w:tcPr>
            <w:tcW w:w="626" w:type="pct"/>
            <w:tcBorders>
              <w:top w:val="nil"/>
              <w:left w:val="nil"/>
              <w:bottom w:val="nil"/>
              <w:right w:val="nil"/>
            </w:tcBorders>
            <w:shd w:val="clear" w:color="auto" w:fill="auto"/>
            <w:vAlign w:val="bottom"/>
          </w:tcPr>
          <w:p w14:paraId="768DC638" w14:textId="37FBA4B8" w:rsidR="004134E3" w:rsidRPr="00FE17FC" w:rsidRDefault="004134E3" w:rsidP="001A3EB9">
            <w:pPr>
              <w:pStyle w:val="Tabletext"/>
              <w:jc w:val="right"/>
            </w:pPr>
            <w:r w:rsidRPr="00FE17FC">
              <w:t>4</w:t>
            </w:r>
            <w:r w:rsidR="00E0302A">
              <w:t xml:space="preserve"> </w:t>
            </w:r>
            <w:r w:rsidRPr="00FE17FC">
              <w:t>471</w:t>
            </w:r>
          </w:p>
        </w:tc>
        <w:tc>
          <w:tcPr>
            <w:tcW w:w="356" w:type="pct"/>
            <w:tcBorders>
              <w:top w:val="nil"/>
              <w:left w:val="nil"/>
              <w:bottom w:val="nil"/>
              <w:right w:val="nil"/>
            </w:tcBorders>
            <w:vAlign w:val="bottom"/>
          </w:tcPr>
          <w:p w14:paraId="37FA4489" w14:textId="77777777" w:rsidR="004134E3" w:rsidRPr="00FE17FC" w:rsidRDefault="004134E3" w:rsidP="001A3EB9">
            <w:pPr>
              <w:pStyle w:val="Tabletext"/>
              <w:jc w:val="right"/>
            </w:pPr>
            <w:r w:rsidRPr="00FE17FC">
              <w:t>29</w:t>
            </w:r>
          </w:p>
        </w:tc>
      </w:tr>
      <w:tr w:rsidR="004134E3" w:rsidRPr="00FE17FC" w14:paraId="0E81B625" w14:textId="77777777" w:rsidTr="001A3EB9">
        <w:trPr>
          <w:trHeight w:val="330"/>
        </w:trPr>
        <w:tc>
          <w:tcPr>
            <w:tcW w:w="2769" w:type="pct"/>
            <w:tcBorders>
              <w:top w:val="nil"/>
              <w:left w:val="nil"/>
              <w:bottom w:val="nil"/>
              <w:right w:val="nil"/>
            </w:tcBorders>
            <w:shd w:val="clear" w:color="auto" w:fill="auto"/>
            <w:vAlign w:val="bottom"/>
          </w:tcPr>
          <w:p w14:paraId="5D555F3D" w14:textId="77777777" w:rsidR="004134E3" w:rsidRPr="00FE17FC" w:rsidRDefault="004134E3" w:rsidP="004F3F64">
            <w:pPr>
              <w:pStyle w:val="Tabletext"/>
            </w:pPr>
            <w:r w:rsidRPr="00FE17FC">
              <w:t>Classroom-based VET</w:t>
            </w:r>
          </w:p>
        </w:tc>
        <w:tc>
          <w:tcPr>
            <w:tcW w:w="535" w:type="pct"/>
            <w:tcBorders>
              <w:top w:val="nil"/>
              <w:left w:val="nil"/>
              <w:bottom w:val="nil"/>
              <w:right w:val="nil"/>
            </w:tcBorders>
            <w:vAlign w:val="bottom"/>
          </w:tcPr>
          <w:p w14:paraId="2F33A26B" w14:textId="77777777" w:rsidR="004134E3" w:rsidRPr="00FE17FC" w:rsidRDefault="004134E3" w:rsidP="001A3EB9">
            <w:pPr>
              <w:pStyle w:val="Tabletext"/>
              <w:jc w:val="right"/>
            </w:pPr>
          </w:p>
        </w:tc>
        <w:tc>
          <w:tcPr>
            <w:tcW w:w="714" w:type="pct"/>
            <w:tcBorders>
              <w:top w:val="nil"/>
              <w:left w:val="nil"/>
              <w:bottom w:val="nil"/>
              <w:right w:val="nil"/>
            </w:tcBorders>
            <w:shd w:val="clear" w:color="auto" w:fill="auto"/>
            <w:vAlign w:val="bottom"/>
          </w:tcPr>
          <w:p w14:paraId="6AEAB4FD" w14:textId="77777777" w:rsidR="004134E3" w:rsidRPr="00FE17FC" w:rsidRDefault="004134E3" w:rsidP="001A3EB9">
            <w:pPr>
              <w:pStyle w:val="Tabletext"/>
              <w:jc w:val="right"/>
            </w:pPr>
          </w:p>
        </w:tc>
        <w:tc>
          <w:tcPr>
            <w:tcW w:w="626" w:type="pct"/>
            <w:tcBorders>
              <w:top w:val="nil"/>
              <w:left w:val="nil"/>
              <w:bottom w:val="nil"/>
              <w:right w:val="nil"/>
            </w:tcBorders>
            <w:shd w:val="clear" w:color="auto" w:fill="auto"/>
            <w:vAlign w:val="bottom"/>
          </w:tcPr>
          <w:p w14:paraId="492E511C" w14:textId="77777777" w:rsidR="004134E3" w:rsidRPr="00FE17FC" w:rsidRDefault="004134E3" w:rsidP="001A3EB9">
            <w:pPr>
              <w:pStyle w:val="Tabletext"/>
              <w:jc w:val="right"/>
            </w:pPr>
          </w:p>
        </w:tc>
        <w:tc>
          <w:tcPr>
            <w:tcW w:w="356" w:type="pct"/>
            <w:tcBorders>
              <w:top w:val="nil"/>
              <w:left w:val="nil"/>
              <w:bottom w:val="nil"/>
              <w:right w:val="nil"/>
            </w:tcBorders>
            <w:vAlign w:val="bottom"/>
          </w:tcPr>
          <w:p w14:paraId="10EA7B1D" w14:textId="77777777" w:rsidR="004134E3" w:rsidRPr="00FE17FC" w:rsidRDefault="004134E3" w:rsidP="001A3EB9">
            <w:pPr>
              <w:pStyle w:val="Tabletext"/>
              <w:jc w:val="right"/>
            </w:pPr>
          </w:p>
        </w:tc>
      </w:tr>
      <w:tr w:rsidR="004134E3" w:rsidRPr="00FE17FC" w14:paraId="4ABAF180" w14:textId="77777777" w:rsidTr="001A3EB9">
        <w:trPr>
          <w:trHeight w:val="330"/>
        </w:trPr>
        <w:tc>
          <w:tcPr>
            <w:tcW w:w="2769" w:type="pct"/>
            <w:tcBorders>
              <w:top w:val="nil"/>
              <w:left w:val="nil"/>
              <w:bottom w:val="nil"/>
              <w:right w:val="nil"/>
            </w:tcBorders>
            <w:shd w:val="clear" w:color="auto" w:fill="auto"/>
            <w:vAlign w:val="bottom"/>
          </w:tcPr>
          <w:p w14:paraId="21355C2C" w14:textId="77777777" w:rsidR="004134E3" w:rsidRPr="00FE17FC" w:rsidRDefault="004134E3" w:rsidP="00CA22C2">
            <w:pPr>
              <w:pStyle w:val="Tabletext"/>
            </w:pPr>
            <w:r w:rsidRPr="00FE17FC">
              <w:t>No WPL</w:t>
            </w:r>
          </w:p>
        </w:tc>
        <w:tc>
          <w:tcPr>
            <w:tcW w:w="535" w:type="pct"/>
            <w:tcBorders>
              <w:top w:val="nil"/>
              <w:left w:val="nil"/>
              <w:bottom w:val="nil"/>
              <w:right w:val="nil"/>
            </w:tcBorders>
            <w:vAlign w:val="bottom"/>
          </w:tcPr>
          <w:p w14:paraId="171DB657" w14:textId="77777777" w:rsidR="004134E3" w:rsidRPr="00FE17FC" w:rsidRDefault="004134E3" w:rsidP="001A3EB9">
            <w:pPr>
              <w:pStyle w:val="Tabletext"/>
              <w:jc w:val="right"/>
            </w:pPr>
            <w:r w:rsidRPr="00FE17FC">
              <w:t>949</w:t>
            </w:r>
          </w:p>
        </w:tc>
        <w:tc>
          <w:tcPr>
            <w:tcW w:w="714" w:type="pct"/>
            <w:tcBorders>
              <w:top w:val="nil"/>
              <w:left w:val="nil"/>
              <w:bottom w:val="nil"/>
              <w:right w:val="nil"/>
            </w:tcBorders>
            <w:shd w:val="clear" w:color="auto" w:fill="auto"/>
            <w:vAlign w:val="bottom"/>
          </w:tcPr>
          <w:p w14:paraId="69E8DD7A" w14:textId="77777777" w:rsidR="004134E3" w:rsidRPr="00FE17FC" w:rsidRDefault="004134E3" w:rsidP="001A3EB9">
            <w:pPr>
              <w:pStyle w:val="Tabletext"/>
              <w:jc w:val="right"/>
            </w:pPr>
            <w:r w:rsidRPr="00FE17FC">
              <w:t>807</w:t>
            </w:r>
          </w:p>
        </w:tc>
        <w:tc>
          <w:tcPr>
            <w:tcW w:w="626" w:type="pct"/>
            <w:tcBorders>
              <w:top w:val="nil"/>
              <w:left w:val="nil"/>
              <w:bottom w:val="nil"/>
              <w:right w:val="nil"/>
            </w:tcBorders>
            <w:shd w:val="clear" w:color="auto" w:fill="auto"/>
            <w:vAlign w:val="bottom"/>
          </w:tcPr>
          <w:p w14:paraId="2585822A" w14:textId="20FEC06E" w:rsidR="004134E3" w:rsidRPr="00FE17FC" w:rsidRDefault="004134E3" w:rsidP="001A3EB9">
            <w:pPr>
              <w:pStyle w:val="Tabletext"/>
              <w:jc w:val="right"/>
            </w:pPr>
            <w:r w:rsidRPr="00FE17FC">
              <w:t>1</w:t>
            </w:r>
            <w:r w:rsidR="00E0302A">
              <w:t xml:space="preserve"> </w:t>
            </w:r>
            <w:r w:rsidRPr="00FE17FC">
              <w:t>756</w:t>
            </w:r>
          </w:p>
        </w:tc>
        <w:tc>
          <w:tcPr>
            <w:tcW w:w="356" w:type="pct"/>
            <w:tcBorders>
              <w:top w:val="nil"/>
              <w:left w:val="nil"/>
              <w:bottom w:val="nil"/>
              <w:right w:val="nil"/>
            </w:tcBorders>
            <w:vAlign w:val="bottom"/>
          </w:tcPr>
          <w:p w14:paraId="0DDF4DDE" w14:textId="77777777" w:rsidR="004134E3" w:rsidRPr="00FE17FC" w:rsidRDefault="004134E3" w:rsidP="001A3EB9">
            <w:pPr>
              <w:pStyle w:val="Tabletext"/>
              <w:jc w:val="right"/>
            </w:pPr>
            <w:r w:rsidRPr="00FE17FC">
              <w:t>11</w:t>
            </w:r>
          </w:p>
        </w:tc>
      </w:tr>
      <w:tr w:rsidR="004134E3" w:rsidRPr="00FE17FC" w14:paraId="283ED35D" w14:textId="77777777" w:rsidTr="001A3EB9">
        <w:trPr>
          <w:trHeight w:val="330"/>
        </w:trPr>
        <w:tc>
          <w:tcPr>
            <w:tcW w:w="2769" w:type="pct"/>
            <w:tcBorders>
              <w:top w:val="nil"/>
              <w:left w:val="nil"/>
              <w:bottom w:val="nil"/>
              <w:right w:val="nil"/>
            </w:tcBorders>
            <w:shd w:val="clear" w:color="auto" w:fill="auto"/>
            <w:vAlign w:val="bottom"/>
          </w:tcPr>
          <w:p w14:paraId="00CF89A8" w14:textId="77777777" w:rsidR="004134E3" w:rsidRPr="00FE17FC" w:rsidRDefault="004134E3" w:rsidP="00CA22C2">
            <w:pPr>
              <w:pStyle w:val="Tabletext"/>
            </w:pPr>
            <w:r w:rsidRPr="00FE17FC">
              <w:t>With WPL</w:t>
            </w:r>
          </w:p>
        </w:tc>
        <w:tc>
          <w:tcPr>
            <w:tcW w:w="535" w:type="pct"/>
            <w:tcBorders>
              <w:top w:val="nil"/>
              <w:left w:val="nil"/>
              <w:bottom w:val="nil"/>
              <w:right w:val="nil"/>
            </w:tcBorders>
            <w:vAlign w:val="bottom"/>
          </w:tcPr>
          <w:p w14:paraId="34E09074" w14:textId="77777777" w:rsidR="004134E3" w:rsidRPr="00FE17FC" w:rsidRDefault="004134E3" w:rsidP="001A3EB9">
            <w:pPr>
              <w:pStyle w:val="Tabletext"/>
              <w:jc w:val="right"/>
            </w:pPr>
            <w:r w:rsidRPr="00FE17FC">
              <w:t>755</w:t>
            </w:r>
          </w:p>
        </w:tc>
        <w:tc>
          <w:tcPr>
            <w:tcW w:w="714" w:type="pct"/>
            <w:tcBorders>
              <w:top w:val="nil"/>
              <w:left w:val="nil"/>
              <w:bottom w:val="nil"/>
              <w:right w:val="nil"/>
            </w:tcBorders>
            <w:shd w:val="clear" w:color="auto" w:fill="auto"/>
            <w:vAlign w:val="bottom"/>
          </w:tcPr>
          <w:p w14:paraId="2612823E" w14:textId="77777777" w:rsidR="004134E3" w:rsidRPr="00FE17FC" w:rsidRDefault="004134E3" w:rsidP="001A3EB9">
            <w:pPr>
              <w:pStyle w:val="Tabletext"/>
              <w:jc w:val="right"/>
            </w:pPr>
            <w:r w:rsidRPr="00FE17FC">
              <w:t>649</w:t>
            </w:r>
          </w:p>
        </w:tc>
        <w:tc>
          <w:tcPr>
            <w:tcW w:w="626" w:type="pct"/>
            <w:tcBorders>
              <w:top w:val="nil"/>
              <w:left w:val="nil"/>
              <w:bottom w:val="nil"/>
              <w:right w:val="nil"/>
            </w:tcBorders>
            <w:shd w:val="clear" w:color="auto" w:fill="auto"/>
            <w:vAlign w:val="bottom"/>
          </w:tcPr>
          <w:p w14:paraId="2F1B4A2C" w14:textId="0C397789" w:rsidR="004134E3" w:rsidRPr="00FE17FC" w:rsidRDefault="004134E3" w:rsidP="001A3EB9">
            <w:pPr>
              <w:pStyle w:val="Tabletext"/>
              <w:jc w:val="right"/>
            </w:pPr>
            <w:r w:rsidRPr="00FE17FC">
              <w:t>1</w:t>
            </w:r>
            <w:r w:rsidR="00E0302A">
              <w:t xml:space="preserve"> </w:t>
            </w:r>
            <w:r w:rsidRPr="00FE17FC">
              <w:t>404</w:t>
            </w:r>
          </w:p>
        </w:tc>
        <w:tc>
          <w:tcPr>
            <w:tcW w:w="356" w:type="pct"/>
            <w:tcBorders>
              <w:top w:val="nil"/>
              <w:left w:val="nil"/>
              <w:bottom w:val="nil"/>
              <w:right w:val="nil"/>
            </w:tcBorders>
            <w:vAlign w:val="bottom"/>
          </w:tcPr>
          <w:p w14:paraId="44F93A4F" w14:textId="77777777" w:rsidR="004134E3" w:rsidRPr="00FE17FC" w:rsidRDefault="004134E3" w:rsidP="001A3EB9">
            <w:pPr>
              <w:pStyle w:val="Tabletext"/>
              <w:jc w:val="right"/>
            </w:pPr>
            <w:r w:rsidRPr="00FE17FC">
              <w:t>9</w:t>
            </w:r>
          </w:p>
        </w:tc>
      </w:tr>
      <w:tr w:rsidR="004134E3" w:rsidRPr="00FE17FC" w14:paraId="6D3588F1" w14:textId="77777777" w:rsidTr="001A3EB9">
        <w:trPr>
          <w:trHeight w:val="330"/>
        </w:trPr>
        <w:tc>
          <w:tcPr>
            <w:tcW w:w="2769" w:type="pct"/>
            <w:tcBorders>
              <w:top w:val="nil"/>
              <w:left w:val="nil"/>
              <w:bottom w:val="nil"/>
              <w:right w:val="nil"/>
            </w:tcBorders>
            <w:shd w:val="clear" w:color="auto" w:fill="auto"/>
            <w:vAlign w:val="bottom"/>
          </w:tcPr>
          <w:p w14:paraId="0D3F4CBD" w14:textId="77777777" w:rsidR="004134E3" w:rsidRPr="00FE17FC" w:rsidRDefault="004134E3" w:rsidP="00CA22C2">
            <w:pPr>
              <w:pStyle w:val="Tabletext"/>
            </w:pPr>
            <w:r w:rsidRPr="00FE17FC">
              <w:t>Apprenticeship/traineeship</w:t>
            </w:r>
          </w:p>
        </w:tc>
        <w:tc>
          <w:tcPr>
            <w:tcW w:w="535" w:type="pct"/>
            <w:tcBorders>
              <w:top w:val="nil"/>
              <w:left w:val="nil"/>
              <w:bottom w:val="nil"/>
              <w:right w:val="nil"/>
            </w:tcBorders>
            <w:vAlign w:val="bottom"/>
          </w:tcPr>
          <w:p w14:paraId="506F99BE" w14:textId="77777777" w:rsidR="004134E3" w:rsidRPr="00FE17FC" w:rsidRDefault="004134E3" w:rsidP="001A3EB9">
            <w:pPr>
              <w:pStyle w:val="Tabletext"/>
              <w:jc w:val="right"/>
            </w:pPr>
            <w:r w:rsidRPr="00FE17FC">
              <w:t>285</w:t>
            </w:r>
          </w:p>
        </w:tc>
        <w:tc>
          <w:tcPr>
            <w:tcW w:w="714" w:type="pct"/>
            <w:tcBorders>
              <w:top w:val="nil"/>
              <w:left w:val="nil"/>
              <w:bottom w:val="nil"/>
              <w:right w:val="nil"/>
            </w:tcBorders>
            <w:shd w:val="clear" w:color="auto" w:fill="auto"/>
            <w:vAlign w:val="bottom"/>
          </w:tcPr>
          <w:p w14:paraId="6469F8DF" w14:textId="77777777" w:rsidR="004134E3" w:rsidRPr="00FE17FC" w:rsidRDefault="004134E3" w:rsidP="001A3EB9">
            <w:pPr>
              <w:pStyle w:val="Tabletext"/>
              <w:jc w:val="right"/>
            </w:pPr>
            <w:r w:rsidRPr="00FE17FC">
              <w:t>399</w:t>
            </w:r>
          </w:p>
        </w:tc>
        <w:tc>
          <w:tcPr>
            <w:tcW w:w="626" w:type="pct"/>
            <w:tcBorders>
              <w:top w:val="nil"/>
              <w:left w:val="nil"/>
              <w:bottom w:val="nil"/>
              <w:right w:val="nil"/>
            </w:tcBorders>
            <w:shd w:val="clear" w:color="auto" w:fill="auto"/>
            <w:vAlign w:val="bottom"/>
          </w:tcPr>
          <w:p w14:paraId="507D5D99" w14:textId="77777777" w:rsidR="004134E3" w:rsidRPr="00FE17FC" w:rsidRDefault="004134E3" w:rsidP="001A3EB9">
            <w:pPr>
              <w:pStyle w:val="Tabletext"/>
              <w:jc w:val="right"/>
            </w:pPr>
            <w:r w:rsidRPr="00FE17FC">
              <w:t>684</w:t>
            </w:r>
          </w:p>
        </w:tc>
        <w:tc>
          <w:tcPr>
            <w:tcW w:w="356" w:type="pct"/>
            <w:tcBorders>
              <w:top w:val="nil"/>
              <w:left w:val="nil"/>
              <w:bottom w:val="nil"/>
              <w:right w:val="nil"/>
            </w:tcBorders>
            <w:vAlign w:val="bottom"/>
          </w:tcPr>
          <w:p w14:paraId="747CA792" w14:textId="77777777" w:rsidR="004134E3" w:rsidRPr="00FE17FC" w:rsidRDefault="004134E3" w:rsidP="001A3EB9">
            <w:pPr>
              <w:pStyle w:val="Tabletext"/>
              <w:jc w:val="right"/>
            </w:pPr>
            <w:r w:rsidRPr="00FE17FC">
              <w:t>4</w:t>
            </w:r>
          </w:p>
        </w:tc>
      </w:tr>
      <w:tr w:rsidR="004134E3" w:rsidRPr="00FE17FC" w14:paraId="456569EE" w14:textId="77777777" w:rsidTr="001A3EB9">
        <w:trPr>
          <w:trHeight w:val="330"/>
        </w:trPr>
        <w:tc>
          <w:tcPr>
            <w:tcW w:w="2769" w:type="pct"/>
            <w:tcBorders>
              <w:top w:val="nil"/>
              <w:left w:val="nil"/>
              <w:right w:val="nil"/>
            </w:tcBorders>
            <w:shd w:val="clear" w:color="auto" w:fill="auto"/>
            <w:vAlign w:val="bottom"/>
          </w:tcPr>
          <w:p w14:paraId="39D37DF6" w14:textId="77777777" w:rsidR="004134E3" w:rsidRPr="00FE17FC" w:rsidRDefault="004134E3" w:rsidP="00CA22C2">
            <w:pPr>
              <w:pStyle w:val="Tabletext"/>
            </w:pPr>
            <w:r w:rsidRPr="00FE17FC">
              <w:t>Classroom-based VET &amp; apprenticeship/traineeship (omitted from the sample)</w:t>
            </w:r>
          </w:p>
        </w:tc>
        <w:tc>
          <w:tcPr>
            <w:tcW w:w="535" w:type="pct"/>
            <w:tcBorders>
              <w:top w:val="nil"/>
              <w:left w:val="nil"/>
              <w:right w:val="nil"/>
            </w:tcBorders>
            <w:vAlign w:val="bottom"/>
          </w:tcPr>
          <w:p w14:paraId="01941C50" w14:textId="77777777" w:rsidR="004134E3" w:rsidRPr="00FE17FC" w:rsidRDefault="004134E3" w:rsidP="001A3EB9">
            <w:pPr>
              <w:pStyle w:val="Tabletext"/>
              <w:jc w:val="right"/>
            </w:pPr>
            <w:r w:rsidRPr="00FE17FC">
              <w:t>326</w:t>
            </w:r>
          </w:p>
        </w:tc>
        <w:tc>
          <w:tcPr>
            <w:tcW w:w="714" w:type="pct"/>
            <w:tcBorders>
              <w:top w:val="nil"/>
              <w:left w:val="nil"/>
              <w:right w:val="nil"/>
            </w:tcBorders>
            <w:shd w:val="clear" w:color="auto" w:fill="auto"/>
            <w:vAlign w:val="bottom"/>
          </w:tcPr>
          <w:p w14:paraId="2A0EE9A7" w14:textId="77777777" w:rsidR="004134E3" w:rsidRPr="00FE17FC" w:rsidRDefault="004134E3" w:rsidP="001A3EB9">
            <w:pPr>
              <w:pStyle w:val="Tabletext"/>
              <w:jc w:val="right"/>
            </w:pPr>
            <w:r w:rsidRPr="00FE17FC">
              <w:t>301</w:t>
            </w:r>
          </w:p>
        </w:tc>
        <w:tc>
          <w:tcPr>
            <w:tcW w:w="626" w:type="pct"/>
            <w:tcBorders>
              <w:top w:val="nil"/>
              <w:left w:val="nil"/>
              <w:right w:val="nil"/>
            </w:tcBorders>
            <w:shd w:val="clear" w:color="auto" w:fill="auto"/>
            <w:vAlign w:val="bottom"/>
          </w:tcPr>
          <w:p w14:paraId="1926752D" w14:textId="77777777" w:rsidR="004134E3" w:rsidRPr="00FE17FC" w:rsidRDefault="004134E3" w:rsidP="001A3EB9">
            <w:pPr>
              <w:pStyle w:val="Tabletext"/>
              <w:jc w:val="right"/>
            </w:pPr>
            <w:r w:rsidRPr="00FE17FC">
              <w:t>627</w:t>
            </w:r>
          </w:p>
        </w:tc>
        <w:tc>
          <w:tcPr>
            <w:tcW w:w="356" w:type="pct"/>
            <w:tcBorders>
              <w:top w:val="nil"/>
              <w:left w:val="nil"/>
              <w:right w:val="nil"/>
            </w:tcBorders>
            <w:vAlign w:val="bottom"/>
          </w:tcPr>
          <w:p w14:paraId="736A0597" w14:textId="77777777" w:rsidR="004134E3" w:rsidRPr="00FE17FC" w:rsidRDefault="004134E3" w:rsidP="001A3EB9">
            <w:pPr>
              <w:pStyle w:val="Tabletext"/>
              <w:jc w:val="right"/>
            </w:pPr>
            <w:r w:rsidRPr="00FE17FC">
              <w:t>4</w:t>
            </w:r>
          </w:p>
        </w:tc>
      </w:tr>
      <w:tr w:rsidR="004134E3" w:rsidRPr="00FE17FC" w14:paraId="57804F4F" w14:textId="77777777" w:rsidTr="001A3EB9">
        <w:trPr>
          <w:trHeight w:val="330"/>
        </w:trPr>
        <w:tc>
          <w:tcPr>
            <w:tcW w:w="2769" w:type="pct"/>
            <w:tcBorders>
              <w:top w:val="nil"/>
              <w:left w:val="nil"/>
              <w:bottom w:val="single" w:sz="4" w:space="0" w:color="auto"/>
              <w:right w:val="nil"/>
            </w:tcBorders>
            <w:shd w:val="clear" w:color="auto" w:fill="auto"/>
            <w:vAlign w:val="bottom"/>
          </w:tcPr>
          <w:p w14:paraId="5E9D9944" w14:textId="77777777" w:rsidR="004134E3" w:rsidRPr="00FE17FC" w:rsidRDefault="004134E3" w:rsidP="00CA22C2">
            <w:pPr>
              <w:pStyle w:val="Tabletext"/>
            </w:pPr>
            <w:r w:rsidRPr="00FE17FC">
              <w:t>Total</w:t>
            </w:r>
          </w:p>
        </w:tc>
        <w:tc>
          <w:tcPr>
            <w:tcW w:w="535" w:type="pct"/>
            <w:tcBorders>
              <w:top w:val="nil"/>
              <w:left w:val="nil"/>
              <w:bottom w:val="single" w:sz="4" w:space="0" w:color="auto"/>
              <w:right w:val="nil"/>
            </w:tcBorders>
            <w:vAlign w:val="bottom"/>
          </w:tcPr>
          <w:p w14:paraId="5F0D9C52" w14:textId="10787F9C" w:rsidR="004134E3" w:rsidRPr="00FE17FC" w:rsidRDefault="004134E3" w:rsidP="001A3EB9">
            <w:pPr>
              <w:pStyle w:val="Tabletext"/>
              <w:jc w:val="right"/>
            </w:pPr>
            <w:r w:rsidRPr="00FE17FC">
              <w:t>8</w:t>
            </w:r>
            <w:r w:rsidR="00E0302A">
              <w:t xml:space="preserve"> </w:t>
            </w:r>
            <w:r w:rsidRPr="00FE17FC">
              <w:t>207</w:t>
            </w:r>
          </w:p>
        </w:tc>
        <w:tc>
          <w:tcPr>
            <w:tcW w:w="714" w:type="pct"/>
            <w:tcBorders>
              <w:top w:val="nil"/>
              <w:left w:val="nil"/>
              <w:bottom w:val="single" w:sz="4" w:space="0" w:color="auto"/>
              <w:right w:val="nil"/>
            </w:tcBorders>
            <w:shd w:val="clear" w:color="auto" w:fill="auto"/>
            <w:vAlign w:val="bottom"/>
          </w:tcPr>
          <w:p w14:paraId="2832CEBB" w14:textId="73D0B75F" w:rsidR="004134E3" w:rsidRPr="00FE17FC" w:rsidRDefault="004134E3" w:rsidP="001A3EB9">
            <w:pPr>
              <w:pStyle w:val="Tabletext"/>
              <w:jc w:val="right"/>
            </w:pPr>
            <w:r w:rsidRPr="00FE17FC">
              <w:t>7</w:t>
            </w:r>
            <w:r w:rsidR="00E0302A">
              <w:t xml:space="preserve"> </w:t>
            </w:r>
            <w:r w:rsidRPr="00FE17FC">
              <w:t>420</w:t>
            </w:r>
          </w:p>
        </w:tc>
        <w:tc>
          <w:tcPr>
            <w:tcW w:w="626" w:type="pct"/>
            <w:tcBorders>
              <w:top w:val="nil"/>
              <w:left w:val="nil"/>
              <w:bottom w:val="single" w:sz="4" w:space="0" w:color="auto"/>
              <w:right w:val="nil"/>
            </w:tcBorders>
            <w:shd w:val="clear" w:color="auto" w:fill="auto"/>
            <w:vAlign w:val="bottom"/>
          </w:tcPr>
          <w:p w14:paraId="4031A6B6" w14:textId="0AB42A2C" w:rsidR="004134E3" w:rsidRPr="00FE17FC" w:rsidRDefault="004134E3" w:rsidP="001A3EB9">
            <w:pPr>
              <w:pStyle w:val="Tabletext"/>
              <w:jc w:val="right"/>
            </w:pPr>
            <w:r w:rsidRPr="00FE17FC">
              <w:t>15</w:t>
            </w:r>
            <w:r w:rsidR="00E0302A">
              <w:t xml:space="preserve"> </w:t>
            </w:r>
            <w:r w:rsidRPr="00FE17FC">
              <w:t>627</w:t>
            </w:r>
          </w:p>
        </w:tc>
        <w:tc>
          <w:tcPr>
            <w:tcW w:w="356" w:type="pct"/>
            <w:tcBorders>
              <w:top w:val="nil"/>
              <w:left w:val="nil"/>
              <w:bottom w:val="single" w:sz="4" w:space="0" w:color="auto"/>
              <w:right w:val="nil"/>
            </w:tcBorders>
            <w:vAlign w:val="bottom"/>
          </w:tcPr>
          <w:p w14:paraId="4BD57898" w14:textId="77777777" w:rsidR="004134E3" w:rsidRPr="00FE17FC" w:rsidRDefault="004134E3" w:rsidP="001A3EB9">
            <w:pPr>
              <w:pStyle w:val="Tabletext"/>
              <w:jc w:val="right"/>
            </w:pPr>
            <w:r w:rsidRPr="00FE17FC">
              <w:t>100</w:t>
            </w:r>
          </w:p>
        </w:tc>
      </w:tr>
    </w:tbl>
    <w:p w14:paraId="706F7FB5" w14:textId="033F7577" w:rsidR="004134E3" w:rsidRPr="00FE17FC" w:rsidRDefault="004134E3" w:rsidP="00061C61">
      <w:pPr>
        <w:pStyle w:val="Source"/>
        <w:rPr>
          <w:lang w:val="en-GB"/>
        </w:rPr>
      </w:pPr>
      <w:r w:rsidRPr="00FE17FC">
        <w:t xml:space="preserve">Source: </w:t>
      </w:r>
      <w:proofErr w:type="spellStart"/>
      <w:r w:rsidRPr="00FE17FC">
        <w:t>Polidano</w:t>
      </w:r>
      <w:proofErr w:type="spellEnd"/>
      <w:r w:rsidRPr="00FE17FC">
        <w:t xml:space="preserve"> and </w:t>
      </w:r>
      <w:proofErr w:type="spellStart"/>
      <w:r w:rsidRPr="00FE17FC">
        <w:t>Tabasso</w:t>
      </w:r>
      <w:proofErr w:type="spellEnd"/>
      <w:r w:rsidRPr="00FE17FC">
        <w:t xml:space="preserve"> (2014). </w:t>
      </w:r>
    </w:p>
    <w:p w14:paraId="0083462F" w14:textId="157184C2" w:rsidR="004134E3" w:rsidRDefault="004134E3" w:rsidP="00061C61">
      <w:pPr>
        <w:pStyle w:val="Text"/>
      </w:pPr>
      <w:r>
        <w:t xml:space="preserve">Students who take classroom-based VET are identified as taking workplace learning if they report spending at least </w:t>
      </w:r>
      <w:r w:rsidR="00300F19">
        <w:t>one</w:t>
      </w:r>
      <w:r>
        <w:t xml:space="preserve"> hour in workplace learning in upper-secondary school</w:t>
      </w:r>
      <w:r w:rsidR="00300F19">
        <w:t>,</w:t>
      </w:r>
      <w:r>
        <w:t xml:space="preserve"> otherwise they are treated as being without.</w:t>
      </w:r>
      <w:r w:rsidRPr="00E0302A">
        <w:rPr>
          <w:rStyle w:val="FootnoteReference"/>
          <w:rFonts w:ascii="Trebuchet MS" w:hAnsi="Trebuchet MS"/>
          <w:vertAlign w:val="superscript"/>
        </w:rPr>
        <w:footnoteReference w:id="7"/>
      </w:r>
      <w:r w:rsidRPr="007D6C9F">
        <w:t xml:space="preserve"> </w:t>
      </w:r>
      <w:r>
        <w:t>Apprentices/trainees are those who take only upper-secondary VET subjects that are part of an apprenticeship/traineeship. Those who take both classroom-based VET subjects and subjects as part of an apprenticeship/traineeship are removed from the sample. I</w:t>
      </w:r>
      <w:r w:rsidR="001C6EE7">
        <w:t>n</w:t>
      </w:r>
      <w:r>
        <w:t xml:space="preserve"> all, we observe around 15</w:t>
      </w:r>
      <w:r w:rsidR="006B7B65">
        <w:t xml:space="preserve"> </w:t>
      </w:r>
      <w:r>
        <w:t xml:space="preserve">000 individuals in our sample, with around 29% taking at least one </w:t>
      </w:r>
      <w:r w:rsidR="003974CB">
        <w:t xml:space="preserve">VET in Schools </w:t>
      </w:r>
      <w:r>
        <w:t>subject in upper-secondary school (</w:t>
      </w:r>
      <w:r w:rsidR="006B7B65">
        <w:t>t</w:t>
      </w:r>
      <w:r>
        <w:t>able 1</w:t>
      </w:r>
      <w:r w:rsidR="00061C61">
        <w:t>4</w:t>
      </w:r>
      <w:r>
        <w:t>). The most popular courses are hospitality (22%), technology (16%), IT (9%), business (11%), arts (6%) and health (5%).</w:t>
      </w:r>
    </w:p>
    <w:p w14:paraId="47281D44" w14:textId="77777777" w:rsidR="004134E3" w:rsidRDefault="004134E3" w:rsidP="004134E3">
      <w:pPr>
        <w:pStyle w:val="Heading2"/>
      </w:pPr>
      <w:bookmarkStart w:id="146" w:name="_Toc15048920"/>
      <w:bookmarkStart w:id="147" w:name="_Toc19803933"/>
      <w:r>
        <w:lastRenderedPageBreak/>
        <w:t>Measuring outcomes</w:t>
      </w:r>
      <w:bookmarkEnd w:id="146"/>
      <w:bookmarkEnd w:id="147"/>
    </w:p>
    <w:p w14:paraId="68F78947" w14:textId="22137043" w:rsidR="004134E3" w:rsidRDefault="004134E3" w:rsidP="00061C61">
      <w:pPr>
        <w:pStyle w:val="Text"/>
      </w:pPr>
      <w:r>
        <w:t>There are many differences between students who enrol in VET</w:t>
      </w:r>
      <w:r w:rsidR="006B7B65">
        <w:t xml:space="preserve"> </w:t>
      </w:r>
      <w:r>
        <w:t>in</w:t>
      </w:r>
      <w:r w:rsidR="006B7B65">
        <w:t xml:space="preserve"> S</w:t>
      </w:r>
      <w:r>
        <w:t>chool</w:t>
      </w:r>
      <w:r w:rsidR="006B7B65">
        <w:t>s</w:t>
      </w:r>
      <w:r>
        <w:t xml:space="preserve"> courses and students who do not. For example, students who enrol in </w:t>
      </w:r>
      <w:r w:rsidR="003974CB">
        <w:t xml:space="preserve">VET in Schools </w:t>
      </w:r>
      <w:r>
        <w:t>subjects are on average: more than 20 percentage points less likely to report an intention to go to university; 18 percentage points more likely to be in the bottom two quartiles of achievement in mathematics and reading in</w:t>
      </w:r>
      <w:r w:rsidR="0004054E">
        <w:t xml:space="preserve"> the Programme for International Student Assessment</w:t>
      </w:r>
      <w:r w:rsidR="00B31CF0" w:rsidRPr="00E0302A">
        <w:rPr>
          <w:rFonts w:ascii="Times New Roman" w:eastAsia="PracticeBook" w:hAnsi="Times New Roman"/>
          <w:color w:val="12120D"/>
          <w:sz w:val="20"/>
        </w:rPr>
        <w:t xml:space="preserve"> </w:t>
      </w:r>
      <w:r w:rsidR="0004054E">
        <w:rPr>
          <w:rFonts w:ascii="Times New Roman" w:eastAsia="PracticeBook" w:hAnsi="Times New Roman"/>
          <w:color w:val="12120D"/>
          <w:sz w:val="20"/>
        </w:rPr>
        <w:t>(</w:t>
      </w:r>
      <w:r>
        <w:t>PISA</w:t>
      </w:r>
      <w:r w:rsidR="0004054E">
        <w:t>)</w:t>
      </w:r>
      <w:r>
        <w:t>; and about 23 percentage points more likely to report having a parent without a bachelor</w:t>
      </w:r>
      <w:r w:rsidR="002E6D06">
        <w:t>’s</w:t>
      </w:r>
      <w:r>
        <w:t xml:space="preserve"> degree. </w:t>
      </w:r>
      <w:r w:rsidR="00D35A27">
        <w:t>In</w:t>
      </w:r>
      <w:r>
        <w:t xml:space="preserve"> understand</w:t>
      </w:r>
      <w:r w:rsidR="00D35A27">
        <w:t>ing</w:t>
      </w:r>
      <w:r>
        <w:t xml:space="preserve"> how participation in </w:t>
      </w:r>
      <w:r w:rsidR="003974CB">
        <w:t xml:space="preserve">VET in Schools </w:t>
      </w:r>
      <w:r>
        <w:t xml:space="preserve">contributed to student outcomes, it is important that any comparison between those who did and did not participate controls for these differences because they are also likely to affect outcomes. Failure to control for such differences means that any comparison may wrongly associate differences in outcomes to the effect of </w:t>
      </w:r>
      <w:r w:rsidR="003974CB">
        <w:t>VET in Schools</w:t>
      </w:r>
      <w:r>
        <w:t xml:space="preserve"> rather than the effect of student differences.</w:t>
      </w:r>
    </w:p>
    <w:p w14:paraId="7B5A4A59" w14:textId="3A908282" w:rsidR="004134E3" w:rsidRDefault="004134E3" w:rsidP="00061C61">
      <w:pPr>
        <w:pStyle w:val="Text"/>
      </w:pPr>
      <w:r>
        <w:t xml:space="preserve">In this study, we use propensity score matching to control for differences in past academic achievement (using PISA scores), post-school study and job aspirations, socioeconomic background, local labour market opportunities and differences in </w:t>
      </w:r>
      <w:r w:rsidR="00D37A6D">
        <w:t xml:space="preserve">the </w:t>
      </w:r>
      <w:r>
        <w:t>characteristics of the schools attended</w:t>
      </w:r>
      <w:r w:rsidR="00BA7CEA">
        <w:t>,</w:t>
      </w:r>
      <w:r>
        <w:t xml:space="preserve"> including differences in peer characteristics. Propensity score matching is a statistical technique that controls for these differences by selecting, among those who do not participate in </w:t>
      </w:r>
      <w:r w:rsidR="003974CB">
        <w:t>VET in Schools</w:t>
      </w:r>
      <w:r>
        <w:t xml:space="preserve">, comparison groups of students who possess the same observable traits on average as those who did participate in the </w:t>
      </w:r>
      <w:r w:rsidR="003974CB">
        <w:t xml:space="preserve">VET in Schools </w:t>
      </w:r>
      <w:r>
        <w:t xml:space="preserve">program. Separate comparison groups are produced for each of the three models of </w:t>
      </w:r>
      <w:r w:rsidR="003974CB">
        <w:t>VET in Schools</w:t>
      </w:r>
      <w:r>
        <w:t>.</w:t>
      </w:r>
    </w:p>
    <w:p w14:paraId="51E32534" w14:textId="266CDEF3" w:rsidR="004134E3" w:rsidRDefault="004134E3" w:rsidP="004134E3">
      <w:pPr>
        <w:pStyle w:val="Heading2"/>
      </w:pPr>
      <w:bookmarkStart w:id="148" w:name="_Toc15048921"/>
      <w:bookmarkStart w:id="149" w:name="_Toc19803934"/>
      <w:r>
        <w:t>Results</w:t>
      </w:r>
      <w:bookmarkEnd w:id="148"/>
      <w:bookmarkEnd w:id="149"/>
    </w:p>
    <w:p w14:paraId="057B3621" w14:textId="24213569" w:rsidR="00366753" w:rsidRDefault="00092AB1" w:rsidP="00E36EE2">
      <w:pPr>
        <w:pStyle w:val="Text"/>
        <w:sectPr w:rsidR="00366753" w:rsidSect="00740088">
          <w:pgSz w:w="11907" w:h="16840" w:code="9"/>
          <w:pgMar w:top="1134" w:right="2552" w:bottom="851" w:left="1418" w:header="709" w:footer="38" w:gutter="0"/>
          <w:cols w:space="708"/>
          <w:docGrid w:linePitch="360"/>
        </w:sectPr>
      </w:pPr>
      <w:r>
        <w:t>The k</w:t>
      </w:r>
      <w:r w:rsidR="004134E3">
        <w:t xml:space="preserve">ey results from the propensity score matching are presented in </w:t>
      </w:r>
      <w:r>
        <w:t>f</w:t>
      </w:r>
      <w:r w:rsidR="004134E3">
        <w:t xml:space="preserve">igures </w:t>
      </w:r>
      <w:r w:rsidR="00061C61">
        <w:t xml:space="preserve">6 </w:t>
      </w:r>
      <w:r w:rsidR="004134E3">
        <w:t xml:space="preserve">to </w:t>
      </w:r>
      <w:r w:rsidR="00061C61">
        <w:t>8</w:t>
      </w:r>
      <w:r w:rsidR="004134E3">
        <w:t xml:space="preserve">. The bars represent </w:t>
      </w:r>
      <w:r>
        <w:t xml:space="preserve">the </w:t>
      </w:r>
      <w:r w:rsidR="004134E3">
        <w:t xml:space="preserve">outcomes of those who took a </w:t>
      </w:r>
      <w:r w:rsidR="003974CB">
        <w:t xml:space="preserve">VET in Schools </w:t>
      </w:r>
      <w:r w:rsidR="004134E3">
        <w:t xml:space="preserve">subject during upper-secondary school relative to the outcomes of the ‘like’ or ‘matched’ comparison group who did not enrol in </w:t>
      </w:r>
      <w:r w:rsidR="003974CB">
        <w:t xml:space="preserve">VET in Schools </w:t>
      </w:r>
      <w:r w:rsidR="004134E3">
        <w:t>programs. The error bars on the graphs represent 90% confidence intervals, which in rough terms can be interpreted as the range of values for which we can be 90% confident contains the true difference in the population. For outcomes where the error bars include the value zero, we conclude that there is no evidence of a statistically significant difference in outcomes between those who undertake upper-secondary VET</w:t>
      </w:r>
      <w:r>
        <w:t xml:space="preserve"> </w:t>
      </w:r>
      <w:r w:rsidR="004134E3">
        <w:t>in</w:t>
      </w:r>
      <w:r>
        <w:t xml:space="preserve"> S</w:t>
      </w:r>
      <w:r w:rsidR="004134E3">
        <w:t>chool</w:t>
      </w:r>
      <w:r>
        <w:t>s</w:t>
      </w:r>
      <w:r w:rsidR="004134E3">
        <w:t xml:space="preserve"> and those who do not</w:t>
      </w:r>
      <w:r w:rsidR="00366753">
        <w:t>.</w:t>
      </w:r>
    </w:p>
    <w:p w14:paraId="1A3C3D86" w14:textId="09863792" w:rsidR="004134E3" w:rsidRPr="00464447" w:rsidRDefault="004134E3" w:rsidP="00464447">
      <w:pPr>
        <w:pStyle w:val="Figuretitle"/>
      </w:pPr>
      <w:bookmarkStart w:id="150" w:name="_Toc19001692"/>
      <w:r w:rsidRPr="00464447">
        <w:lastRenderedPageBreak/>
        <w:t xml:space="preserve">Figure </w:t>
      </w:r>
      <w:r w:rsidR="00061C61" w:rsidRPr="00464447">
        <w:t>6</w:t>
      </w:r>
      <w:r w:rsidR="008721E6" w:rsidRPr="00464447">
        <w:tab/>
      </w:r>
      <w:r w:rsidRPr="00464447">
        <w:t xml:space="preserve">Education outcomes of </w:t>
      </w:r>
      <w:r w:rsidR="003974CB" w:rsidRPr="00464447">
        <w:t xml:space="preserve">VET in Schools </w:t>
      </w:r>
      <w:r w:rsidRPr="00464447">
        <w:t xml:space="preserve">programs in the first year out from school compared </w:t>
      </w:r>
      <w:r w:rsidR="00092AB1" w:rsidRPr="00464447">
        <w:t>with</w:t>
      </w:r>
      <w:r w:rsidRPr="00464447">
        <w:t xml:space="preserve"> outcomes of ‘matched’ comparison groups</w:t>
      </w:r>
      <w:bookmarkEnd w:id="150"/>
    </w:p>
    <w:p w14:paraId="1410F3DB" w14:textId="36516D64" w:rsidR="004134E3" w:rsidRDefault="00B02EAA" w:rsidP="004134E3">
      <w:pPr>
        <w:rPr>
          <w:b/>
        </w:rPr>
      </w:pPr>
      <w:r>
        <w:rPr>
          <w:noProof/>
          <w:lang w:val="en-GB" w:eastAsia="en-GB"/>
        </w:rPr>
        <w:drawing>
          <wp:anchor distT="0" distB="0" distL="114300" distR="114300" simplePos="0" relativeHeight="252002304" behindDoc="0" locked="0" layoutInCell="1" allowOverlap="1" wp14:anchorId="5F3A19BD" wp14:editId="2ABD5CCB">
            <wp:simplePos x="0" y="0"/>
            <wp:positionH relativeFrom="column">
              <wp:posOffset>-5080</wp:posOffset>
            </wp:positionH>
            <wp:positionV relativeFrom="paragraph">
              <wp:posOffset>57150</wp:posOffset>
            </wp:positionV>
            <wp:extent cx="4895850" cy="3133725"/>
            <wp:effectExtent l="0" t="0" r="0" b="0"/>
            <wp:wrapNone/>
            <wp:docPr id="15" name="Chart 15">
              <a:extLst xmlns:a="http://schemas.openxmlformats.org/drawingml/2006/main">
                <a:ext uri="{FF2B5EF4-FFF2-40B4-BE49-F238E27FC236}">
                  <a16:creationId xmlns:a16="http://schemas.microsoft.com/office/drawing/2014/main" id="{496494D2-B06F-414E-AE8F-55E0659E32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1B5554C1" w14:textId="226275E4" w:rsidR="00CA22C2" w:rsidRDefault="00CA22C2" w:rsidP="004134E3">
      <w:pPr>
        <w:rPr>
          <w:b/>
        </w:rPr>
      </w:pPr>
    </w:p>
    <w:p w14:paraId="4707933A" w14:textId="163E561A" w:rsidR="00CA22C2" w:rsidRDefault="00CA22C2" w:rsidP="004134E3">
      <w:pPr>
        <w:rPr>
          <w:b/>
        </w:rPr>
      </w:pPr>
    </w:p>
    <w:p w14:paraId="2E3A6658" w14:textId="1175054E" w:rsidR="00CA22C2" w:rsidRDefault="00CA22C2" w:rsidP="004134E3">
      <w:pPr>
        <w:rPr>
          <w:b/>
        </w:rPr>
      </w:pPr>
    </w:p>
    <w:p w14:paraId="515931D0" w14:textId="65D8E668" w:rsidR="00CA22C2" w:rsidRDefault="00CA22C2" w:rsidP="004134E3">
      <w:pPr>
        <w:rPr>
          <w:b/>
        </w:rPr>
      </w:pPr>
    </w:p>
    <w:p w14:paraId="4D0C088F" w14:textId="61B13B8D" w:rsidR="00CA22C2" w:rsidRDefault="00CA22C2" w:rsidP="004134E3">
      <w:pPr>
        <w:rPr>
          <w:b/>
        </w:rPr>
      </w:pPr>
    </w:p>
    <w:p w14:paraId="674675C0" w14:textId="15202550" w:rsidR="00CA22C2" w:rsidRDefault="00CA22C2" w:rsidP="004134E3">
      <w:pPr>
        <w:rPr>
          <w:b/>
        </w:rPr>
      </w:pPr>
    </w:p>
    <w:p w14:paraId="0D442A62" w14:textId="0B1AAD8C" w:rsidR="00CA22C2" w:rsidRDefault="00CA22C2" w:rsidP="004134E3">
      <w:pPr>
        <w:rPr>
          <w:b/>
        </w:rPr>
      </w:pPr>
    </w:p>
    <w:p w14:paraId="19809354" w14:textId="74A0AB38" w:rsidR="00CA22C2" w:rsidRDefault="00CA22C2" w:rsidP="004134E3">
      <w:pPr>
        <w:rPr>
          <w:b/>
        </w:rPr>
      </w:pPr>
    </w:p>
    <w:p w14:paraId="52D57BE7" w14:textId="62FF30CC" w:rsidR="00CA22C2" w:rsidRDefault="00CA22C2" w:rsidP="004134E3">
      <w:pPr>
        <w:rPr>
          <w:b/>
        </w:rPr>
      </w:pPr>
    </w:p>
    <w:p w14:paraId="72FFE0D1" w14:textId="2B1742BA" w:rsidR="00CA22C2" w:rsidRDefault="00CA22C2" w:rsidP="004134E3">
      <w:pPr>
        <w:rPr>
          <w:b/>
        </w:rPr>
      </w:pPr>
    </w:p>
    <w:p w14:paraId="5F4888A2" w14:textId="736904FA" w:rsidR="00CA22C2" w:rsidRDefault="00CA22C2" w:rsidP="004134E3">
      <w:pPr>
        <w:rPr>
          <w:b/>
        </w:rPr>
      </w:pPr>
    </w:p>
    <w:p w14:paraId="6967D88C" w14:textId="4988AC37" w:rsidR="001A3EB9" w:rsidRDefault="004134E3" w:rsidP="00CA22C2">
      <w:pPr>
        <w:pStyle w:val="Text"/>
      </w:pPr>
      <w:r>
        <w:t xml:space="preserve">From </w:t>
      </w:r>
      <w:r w:rsidR="00092AB1">
        <w:t>f</w:t>
      </w:r>
      <w:r>
        <w:t xml:space="preserve">igure </w:t>
      </w:r>
      <w:r w:rsidR="00061C61">
        <w:t>6</w:t>
      </w:r>
      <w:r>
        <w:t xml:space="preserve">, we conclude that participating in </w:t>
      </w:r>
      <w:r w:rsidR="003974CB">
        <w:t xml:space="preserve">VET in Schools </w:t>
      </w:r>
      <w:r>
        <w:t>is associated with a 14</w:t>
      </w:r>
      <w:r w:rsidR="00CA22C2">
        <w:t>-</w:t>
      </w:r>
      <w:r>
        <w:t xml:space="preserve">percentage point higher rate of school completion and that the association is strongest for </w:t>
      </w:r>
      <w:r w:rsidR="003974CB">
        <w:t xml:space="preserve">VET in Schools </w:t>
      </w:r>
      <w:r>
        <w:t xml:space="preserve">programs which include a workplace learning component (apprenticeship/traineeship and classroom-based VET with workplace learning). In terms of initial post-school education pathways, our results suggest that participating in </w:t>
      </w:r>
      <w:r w:rsidR="003974CB">
        <w:t xml:space="preserve">VET in Schools </w:t>
      </w:r>
      <w:r>
        <w:t xml:space="preserve">is associated with lower rates of enrolment in higher education. We also estimate that taking </w:t>
      </w:r>
      <w:r w:rsidR="003974CB">
        <w:t xml:space="preserve">VET in Schools </w:t>
      </w:r>
      <w:r>
        <w:t xml:space="preserve">subjects is associated with a </w:t>
      </w:r>
      <w:r w:rsidR="007B3F34">
        <w:t>five</w:t>
      </w:r>
      <w:r w:rsidR="00CA22C2">
        <w:t>-percentage</w:t>
      </w:r>
      <w:r>
        <w:t xml:space="preserve"> point higher rate of participation in VET courses at certificate III and above in the first year out from school. Overall, we estimate a net zero effect on post-secondary enrolments (sum of higher education, higher</w:t>
      </w:r>
      <w:r w:rsidR="00EA1EB3">
        <w:t>-</w:t>
      </w:r>
      <w:r>
        <w:t xml:space="preserve">level VET and </w:t>
      </w:r>
      <w:r w:rsidR="00EA1EB3">
        <w:t>f</w:t>
      </w:r>
      <w:r>
        <w:t xml:space="preserve">oundation VET in </w:t>
      </w:r>
      <w:r w:rsidR="00EA1EB3">
        <w:t>f</w:t>
      </w:r>
      <w:r>
        <w:t xml:space="preserve">igure </w:t>
      </w:r>
      <w:r w:rsidR="00AD48D8">
        <w:t>6</w:t>
      </w:r>
      <w:r>
        <w:t xml:space="preserve">), except for those who </w:t>
      </w:r>
      <w:r w:rsidR="00366753">
        <w:t>enrol</w:t>
      </w:r>
      <w:r>
        <w:t xml:space="preserve"> in apprenticeships/traineeships while at school: these students experience a </w:t>
      </w:r>
      <w:r w:rsidR="00EA1EB3">
        <w:t>two</w:t>
      </w:r>
      <w:r w:rsidR="00CA22C2">
        <w:t>-percentage</w:t>
      </w:r>
      <w:r>
        <w:t xml:space="preserve"> point increase in post-secondary enrolments.</w:t>
      </w:r>
    </w:p>
    <w:p w14:paraId="1B439924" w14:textId="77777777" w:rsidR="001A3EB9" w:rsidRDefault="001A3EB9">
      <w:pPr>
        <w:spacing w:before="0" w:line="240" w:lineRule="auto"/>
      </w:pPr>
      <w:r>
        <w:br w:type="page"/>
      </w:r>
    </w:p>
    <w:p w14:paraId="37EAE01F" w14:textId="4976EE78" w:rsidR="00CA22C2" w:rsidRPr="00B1704F" w:rsidRDefault="00CA22C2" w:rsidP="00B1704F">
      <w:pPr>
        <w:pStyle w:val="Figuretitle"/>
      </w:pPr>
      <w:bookmarkStart w:id="151" w:name="_Toc19001693"/>
      <w:r w:rsidRPr="00B1704F">
        <w:lastRenderedPageBreak/>
        <w:t xml:space="preserve">Figure </w:t>
      </w:r>
      <w:r w:rsidR="00061C61" w:rsidRPr="00B1704F">
        <w:t>7</w:t>
      </w:r>
      <w:r w:rsidR="001A3EB9">
        <w:tab/>
      </w:r>
      <w:r w:rsidRPr="00B1704F">
        <w:t xml:space="preserve">Labour market outcomes of </w:t>
      </w:r>
      <w:r w:rsidR="003974CB">
        <w:t xml:space="preserve">VET in Schools </w:t>
      </w:r>
      <w:r w:rsidRPr="00B1704F">
        <w:t>programs in the first year out from school compared to outcomes of ‘matched’ comparison groups</w:t>
      </w:r>
      <w:bookmarkEnd w:id="151"/>
    </w:p>
    <w:p w14:paraId="51F9EE59" w14:textId="7A540A3B" w:rsidR="00CA22C2" w:rsidRDefault="00CA22C2" w:rsidP="004134E3">
      <w:r>
        <w:rPr>
          <w:noProof/>
          <w:lang w:val="en-GB" w:eastAsia="en-GB"/>
        </w:rPr>
        <w:drawing>
          <wp:anchor distT="0" distB="0" distL="114300" distR="114300" simplePos="0" relativeHeight="252003328" behindDoc="0" locked="0" layoutInCell="1" allowOverlap="1" wp14:anchorId="69CBADD6" wp14:editId="691F763D">
            <wp:simplePos x="0" y="0"/>
            <wp:positionH relativeFrom="margin">
              <wp:posOffset>8255</wp:posOffset>
            </wp:positionH>
            <wp:positionV relativeFrom="paragraph">
              <wp:posOffset>57150</wp:posOffset>
            </wp:positionV>
            <wp:extent cx="4857750" cy="3133725"/>
            <wp:effectExtent l="0" t="0" r="0" b="0"/>
            <wp:wrapNone/>
            <wp:docPr id="2" name="Chart 2">
              <a:extLst xmlns:a="http://schemas.openxmlformats.org/drawingml/2006/main">
                <a:ext uri="{FF2B5EF4-FFF2-40B4-BE49-F238E27FC236}">
                  <a16:creationId xmlns:a16="http://schemas.microsoft.com/office/drawing/2014/main" id="{FFA0CDB2-8877-4A35-9A24-B6A6F86A7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14:paraId="4C74A2F7" w14:textId="7998E9F3" w:rsidR="00CA22C2" w:rsidRDefault="00CA22C2" w:rsidP="004134E3"/>
    <w:p w14:paraId="30D620F2" w14:textId="3B198499" w:rsidR="00CA22C2" w:rsidRDefault="00CA22C2" w:rsidP="004134E3"/>
    <w:p w14:paraId="12F1D397" w14:textId="624F133B" w:rsidR="00CA22C2" w:rsidRDefault="00CA22C2" w:rsidP="004134E3"/>
    <w:p w14:paraId="0EA1B44D" w14:textId="4011CA24" w:rsidR="00CA22C2" w:rsidRDefault="00CA22C2" w:rsidP="004134E3"/>
    <w:p w14:paraId="35397CF2" w14:textId="797B10E0" w:rsidR="00CA22C2" w:rsidRDefault="00CA22C2" w:rsidP="004134E3"/>
    <w:p w14:paraId="01434DBA" w14:textId="0E097EDD" w:rsidR="00CA22C2" w:rsidRDefault="00CA22C2" w:rsidP="004134E3"/>
    <w:p w14:paraId="1D5490CC" w14:textId="50439D0A" w:rsidR="00CA22C2" w:rsidRDefault="00CA22C2" w:rsidP="004134E3"/>
    <w:p w14:paraId="4CEC704C" w14:textId="259CE5BC" w:rsidR="00CA22C2" w:rsidRDefault="00CA22C2" w:rsidP="004134E3"/>
    <w:p w14:paraId="0F2613C6" w14:textId="42D1486E" w:rsidR="00CA22C2" w:rsidRDefault="00CA22C2" w:rsidP="004134E3"/>
    <w:p w14:paraId="71D471F5" w14:textId="7E24C793" w:rsidR="00CA22C2" w:rsidRDefault="00CA22C2" w:rsidP="004134E3"/>
    <w:p w14:paraId="1808675C" w14:textId="77777777" w:rsidR="001A3EB9" w:rsidRDefault="001A3EB9" w:rsidP="00061C61">
      <w:pPr>
        <w:pStyle w:val="Text"/>
      </w:pPr>
    </w:p>
    <w:p w14:paraId="3ACE91A3" w14:textId="72A7522C" w:rsidR="004134E3" w:rsidRDefault="0001436E" w:rsidP="00061C61">
      <w:pPr>
        <w:pStyle w:val="Text"/>
      </w:pPr>
      <w:r>
        <w:t>The r</w:t>
      </w:r>
      <w:r w:rsidR="004134E3">
        <w:t xml:space="preserve">esults from </w:t>
      </w:r>
      <w:r>
        <w:t>f</w:t>
      </w:r>
      <w:r w:rsidR="004134E3">
        <w:t xml:space="preserve">igure </w:t>
      </w:r>
      <w:r w:rsidR="00061C61">
        <w:t xml:space="preserve">7 </w:t>
      </w:r>
      <w:r w:rsidR="004134E3">
        <w:t xml:space="preserve">suggest that participating in </w:t>
      </w:r>
      <w:r w:rsidR="003974CB">
        <w:t xml:space="preserve">VET in Schools </w:t>
      </w:r>
      <w:r w:rsidR="004134E3">
        <w:t xml:space="preserve">is associated with a </w:t>
      </w:r>
      <w:r>
        <w:t>three</w:t>
      </w:r>
      <w:r w:rsidR="00B36BC0">
        <w:t>-</w:t>
      </w:r>
      <w:r w:rsidR="004134E3">
        <w:t xml:space="preserve">percentage point higher rate of full-time employment in the first year after school. However, a statistically significant full-time employment advantage is limited to </w:t>
      </w:r>
      <w:r w:rsidR="003974CB">
        <w:t xml:space="preserve">VET in Schools </w:t>
      </w:r>
      <w:r w:rsidR="004134E3">
        <w:t xml:space="preserve">associated with a workplace learning component (classroom-based and apprenticeships/traineeships). We find no evidence that participation in </w:t>
      </w:r>
      <w:r w:rsidR="003974CB">
        <w:t xml:space="preserve">VET in Schools </w:t>
      </w:r>
      <w:r w:rsidR="004134E3">
        <w:t xml:space="preserve">increases overall employment levels or the chances of being neither in employment nor in study. That said, among those who do not go onto further study (not in </w:t>
      </w:r>
      <w:r w:rsidR="00B36BC0">
        <w:t>f</w:t>
      </w:r>
      <w:r w:rsidR="004134E3">
        <w:t xml:space="preserve">igure </w:t>
      </w:r>
      <w:r w:rsidR="00061C61">
        <w:t>7</w:t>
      </w:r>
      <w:r w:rsidR="004134E3">
        <w:t>), the employment advantages of students who participated in VET</w:t>
      </w:r>
      <w:r w:rsidR="00B36BC0">
        <w:t xml:space="preserve"> </w:t>
      </w:r>
      <w:r w:rsidR="004134E3">
        <w:t>in</w:t>
      </w:r>
      <w:r w:rsidR="00B36BC0">
        <w:t xml:space="preserve"> S</w:t>
      </w:r>
      <w:r w:rsidR="004134E3">
        <w:t>chool</w:t>
      </w:r>
      <w:r w:rsidR="00B36BC0">
        <w:t>s</w:t>
      </w:r>
      <w:r w:rsidR="004134E3">
        <w:t xml:space="preserve"> are more apparent</w:t>
      </w:r>
      <w:r w:rsidR="00B36BC0">
        <w:t>:</w:t>
      </w:r>
      <w:r w:rsidR="004134E3">
        <w:t xml:space="preserve"> there is a </w:t>
      </w:r>
      <w:r w:rsidR="00B36BC0">
        <w:t>two</w:t>
      </w:r>
      <w:r w:rsidR="008306B3">
        <w:t>-percentage</w:t>
      </w:r>
      <w:r w:rsidR="004134E3">
        <w:t xml:space="preserve"> point advantage in employment, including a </w:t>
      </w:r>
      <w:r w:rsidR="00B36BC0">
        <w:t>four-</w:t>
      </w:r>
      <w:r w:rsidR="004134E3">
        <w:t>percentage point improvement in full-time employment.</w:t>
      </w:r>
    </w:p>
    <w:p w14:paraId="21B5FFAC" w14:textId="41CAC6F0" w:rsidR="00456F89" w:rsidRDefault="004134E3" w:rsidP="00061C61">
      <w:pPr>
        <w:pStyle w:val="Text"/>
      </w:pPr>
      <w:r>
        <w:t xml:space="preserve">Among those who find full-time employment in their first year after school, participating in </w:t>
      </w:r>
      <w:r w:rsidR="003974CB">
        <w:t xml:space="preserve">VET in Schools </w:t>
      </w:r>
      <w:r>
        <w:t xml:space="preserve">is associated with a </w:t>
      </w:r>
      <w:r w:rsidR="006A4AF5">
        <w:t>five-</w:t>
      </w:r>
      <w:r>
        <w:t>percentage point higher chance of being in a job that people report they would like as a career, but the advantage is only apparent for those who take courses with workplace learning (</w:t>
      </w:r>
      <w:r w:rsidR="006A4AF5">
        <w:t>f</w:t>
      </w:r>
      <w:r>
        <w:t xml:space="preserve">igure </w:t>
      </w:r>
      <w:r w:rsidR="00061C61">
        <w:t>8</w:t>
      </w:r>
      <w:r>
        <w:t xml:space="preserve">). For those full-time employed, we also find that taking a classroom-based VET course with workplace learning is associated with an extra $AU2009 25 per week in earnings. The negative effect on the initial wages of those who enrol in apprenticeships/traineeships while at school is likely to </w:t>
      </w:r>
      <w:r w:rsidRPr="00635109">
        <w:t>be because many in this group continue their training post-school to attain accreditation.</w:t>
      </w:r>
    </w:p>
    <w:p w14:paraId="1B3ECCD1" w14:textId="5344296B" w:rsidR="00456F89" w:rsidRDefault="00456F89">
      <w:pPr>
        <w:spacing w:before="0" w:line="240" w:lineRule="auto"/>
      </w:pPr>
      <w:r>
        <w:br w:type="page"/>
      </w:r>
    </w:p>
    <w:p w14:paraId="5E1E1AB6" w14:textId="4DADB74B" w:rsidR="004134E3" w:rsidRPr="00464447" w:rsidRDefault="00456F89" w:rsidP="00464447">
      <w:pPr>
        <w:pStyle w:val="Figuretitle"/>
        <w:rPr>
          <w:rFonts w:eastAsia="Calibri"/>
        </w:rPr>
      </w:pPr>
      <w:bookmarkStart w:id="152" w:name="_Toc19001694"/>
      <w:r w:rsidRPr="00464447">
        <w:rPr>
          <w:rFonts w:eastAsia="Calibri"/>
          <w:noProof/>
        </w:rPr>
        <w:lastRenderedPageBreak/>
        <w:drawing>
          <wp:anchor distT="0" distB="0" distL="114300" distR="114300" simplePos="0" relativeHeight="252040192" behindDoc="0" locked="0" layoutInCell="1" allowOverlap="1" wp14:anchorId="2BD72D50" wp14:editId="7CDA98A9">
            <wp:simplePos x="0" y="0"/>
            <wp:positionH relativeFrom="margin">
              <wp:posOffset>-284480</wp:posOffset>
            </wp:positionH>
            <wp:positionV relativeFrom="paragraph">
              <wp:posOffset>298450</wp:posOffset>
            </wp:positionV>
            <wp:extent cx="5029200" cy="3623945"/>
            <wp:effectExtent l="0" t="0" r="0" b="0"/>
            <wp:wrapSquare wrapText="bothSides"/>
            <wp:docPr id="6" name="Chart 6">
              <a:extLst xmlns:a="http://schemas.openxmlformats.org/drawingml/2006/main">
                <a:ext uri="{FF2B5EF4-FFF2-40B4-BE49-F238E27FC236}">
                  <a16:creationId xmlns:a16="http://schemas.microsoft.com/office/drawing/2014/main" id="{3F3AFA5E-D30E-4291-A16D-4541ECD2A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4134E3" w:rsidRPr="00464447">
        <w:rPr>
          <w:rFonts w:eastAsia="Calibri"/>
        </w:rPr>
        <w:t xml:space="preserve">Figure </w:t>
      </w:r>
      <w:r w:rsidR="00061C61" w:rsidRPr="00464447">
        <w:rPr>
          <w:rFonts w:eastAsia="Calibri"/>
        </w:rPr>
        <w:t>8</w:t>
      </w:r>
      <w:r w:rsidR="001A3EB9" w:rsidRPr="00464447">
        <w:tab/>
      </w:r>
      <w:r w:rsidR="004134E3" w:rsidRPr="00464447">
        <w:rPr>
          <w:rFonts w:eastAsia="Calibri"/>
        </w:rPr>
        <w:t xml:space="preserve">Job outcomes of </w:t>
      </w:r>
      <w:r w:rsidR="003974CB" w:rsidRPr="00464447">
        <w:rPr>
          <w:rFonts w:eastAsia="Calibri"/>
        </w:rPr>
        <w:t xml:space="preserve">VET in Schools </w:t>
      </w:r>
      <w:r w:rsidR="004134E3" w:rsidRPr="00464447">
        <w:rPr>
          <w:rFonts w:eastAsia="Calibri"/>
        </w:rPr>
        <w:t xml:space="preserve">programs in the first year out from school compared </w:t>
      </w:r>
      <w:r w:rsidR="00304E60" w:rsidRPr="00464447">
        <w:rPr>
          <w:rFonts w:eastAsia="Calibri"/>
        </w:rPr>
        <w:t>with</w:t>
      </w:r>
      <w:r w:rsidR="004134E3" w:rsidRPr="00464447">
        <w:rPr>
          <w:rFonts w:eastAsia="Calibri"/>
        </w:rPr>
        <w:t xml:space="preserve"> outcomes of ‘matched’ comparison groups for those full-time employed</w:t>
      </w:r>
      <w:bookmarkEnd w:id="152"/>
    </w:p>
    <w:p w14:paraId="74247F4D" w14:textId="77777777" w:rsidR="004134E3" w:rsidRDefault="004134E3" w:rsidP="004134E3">
      <w:pPr>
        <w:pStyle w:val="Heading2"/>
      </w:pPr>
      <w:bookmarkStart w:id="153" w:name="_Toc15048922"/>
      <w:bookmarkStart w:id="154" w:name="_Toc19803935"/>
      <w:r>
        <w:t>Conclusion</w:t>
      </w:r>
      <w:bookmarkEnd w:id="153"/>
      <w:bookmarkEnd w:id="154"/>
    </w:p>
    <w:p w14:paraId="37349653" w14:textId="5EC68065" w:rsidR="004134E3" w:rsidRDefault="004134E3" w:rsidP="00E822C2">
      <w:pPr>
        <w:pStyle w:val="Text"/>
      </w:pPr>
      <w:r>
        <w:t xml:space="preserve">Consistent with previous studies, we find evidence that participation in </w:t>
      </w:r>
      <w:r w:rsidR="003974CB">
        <w:t xml:space="preserve">VET in Schools </w:t>
      </w:r>
      <w:r>
        <w:t>can improve engagement in schooling</w:t>
      </w:r>
      <w:r w:rsidR="0091786C">
        <w:t>, as well as</w:t>
      </w:r>
      <w:r>
        <w:t xml:space="preserve"> initial labour market outcomes. However, a new finding we present is that much of the advantage </w:t>
      </w:r>
      <w:r w:rsidR="0019561A">
        <w:t>is associated</w:t>
      </w:r>
      <w:r>
        <w:t xml:space="preserve"> </w:t>
      </w:r>
      <w:r w:rsidR="0019561A">
        <w:t>with</w:t>
      </w:r>
      <w:r>
        <w:t xml:space="preserve"> </w:t>
      </w:r>
      <w:r w:rsidR="003974CB">
        <w:t>VET in Schools</w:t>
      </w:r>
      <w:r>
        <w:t xml:space="preserve"> programs that incorporate a workplace learning component, either as part of a classroom-based course or an apprenticeship/traineeship.</w:t>
      </w:r>
    </w:p>
    <w:p w14:paraId="75982FBD" w14:textId="5B86E14A" w:rsidR="00E822C2" w:rsidRDefault="004134E3" w:rsidP="00E822C2">
      <w:pPr>
        <w:pStyle w:val="Text"/>
        <w:rPr>
          <w:lang w:val="en-GB"/>
        </w:rPr>
      </w:pPr>
      <w:r>
        <w:t xml:space="preserve">Findings from this study underline the importance of incorporating a short workplace learning component in </w:t>
      </w:r>
      <w:r w:rsidR="003974CB">
        <w:t>VET in Schools</w:t>
      </w:r>
      <w:r>
        <w:t xml:space="preserve"> programs. From a policy perspective, we caution against offering employer subsidies to encourage more workplace learning</w:t>
      </w:r>
      <w:r w:rsidR="0019561A">
        <w:t>,</w:t>
      </w:r>
      <w:r>
        <w:t xml:space="preserve"> as suggested by Clarke (2012).</w:t>
      </w:r>
      <w:r w:rsidR="00E822C2" w:rsidRPr="00E822C2">
        <w:rPr>
          <w:lang w:val="en-GB"/>
        </w:rPr>
        <w:t xml:space="preserve"> </w:t>
      </w:r>
      <w:r w:rsidR="00E822C2">
        <w:rPr>
          <w:lang w:val="en-GB"/>
        </w:rPr>
        <w:t>First, it is not clear that cost is an impediment to workplace learning, given that this workplace learning benefits employers who can use it to screen suitable candidates and build goodwill in the community. Second, it is not clear how the inducement could be effectively targeted, which may mean that many employers will receive a payment for something they would do anyway.</w:t>
      </w:r>
    </w:p>
    <w:p w14:paraId="7777B09C" w14:textId="40BC01B7" w:rsidR="004134E3" w:rsidRPr="00635109" w:rsidRDefault="00E822C2" w:rsidP="00E822C2">
      <w:pPr>
        <w:pStyle w:val="Text"/>
      </w:pPr>
      <w:r>
        <w:rPr>
          <w:lang w:val="en-GB"/>
        </w:rPr>
        <w:t>A more cost-effective approach may be for the government to play an enabling role by helping to match schools and employers and by providing information to employers and schools.</w:t>
      </w:r>
    </w:p>
    <w:p w14:paraId="2F362171" w14:textId="77777777" w:rsidR="00B02EAA" w:rsidRDefault="00B02EAA" w:rsidP="004134E3">
      <w:pPr>
        <w:pStyle w:val="Heading2"/>
        <w:sectPr w:rsidR="00B02EAA" w:rsidSect="00366753">
          <w:pgSz w:w="11907" w:h="16840" w:code="9"/>
          <w:pgMar w:top="1134" w:right="2552" w:bottom="851" w:left="1418" w:header="709" w:footer="38" w:gutter="0"/>
          <w:cols w:space="708"/>
          <w:docGrid w:linePitch="360"/>
        </w:sectPr>
      </w:pPr>
    </w:p>
    <w:p w14:paraId="45BF554C" w14:textId="5B7B95FE" w:rsidR="004134E3" w:rsidRDefault="004134E3" w:rsidP="00B02EAA">
      <w:pPr>
        <w:pStyle w:val="Heading2"/>
        <w:spacing w:before="0" w:after="240"/>
      </w:pPr>
      <w:bookmarkStart w:id="155" w:name="_Toc15048923"/>
      <w:bookmarkStart w:id="156" w:name="_Toc19803936"/>
      <w:r>
        <w:lastRenderedPageBreak/>
        <w:t>References</w:t>
      </w:r>
      <w:bookmarkEnd w:id="155"/>
      <w:bookmarkEnd w:id="156"/>
    </w:p>
    <w:p w14:paraId="58380B91" w14:textId="3DB5598C" w:rsidR="004134E3" w:rsidRPr="00DD4B4A" w:rsidRDefault="004134E3" w:rsidP="00B02EAA">
      <w:pPr>
        <w:pStyle w:val="References"/>
      </w:pPr>
      <w:r>
        <w:t>Anlezark</w:t>
      </w:r>
      <w:r w:rsidR="00DD4B4A">
        <w:t>,</w:t>
      </w:r>
      <w:r w:rsidR="008306B3">
        <w:t xml:space="preserve"> A, </w:t>
      </w:r>
      <w:r w:rsidR="00DD4B4A">
        <w:t>Karmel, T, &amp; Ong, K</w:t>
      </w:r>
      <w:r>
        <w:t xml:space="preserve"> 2006</w:t>
      </w:r>
      <w:r w:rsidR="00DD4B4A">
        <w:t xml:space="preserve">, </w:t>
      </w:r>
      <w:r w:rsidR="00DD4B4A" w:rsidRPr="00E0302A">
        <w:rPr>
          <w:i/>
        </w:rPr>
        <w:t>Have school vocational education and training programs been successful?,</w:t>
      </w:r>
      <w:r w:rsidR="00DD4B4A">
        <w:t xml:space="preserve"> NCVER, Adelaide.</w:t>
      </w:r>
    </w:p>
    <w:p w14:paraId="79209409" w14:textId="4AD4B6A0" w:rsidR="004134E3" w:rsidRPr="004134E3" w:rsidRDefault="004134E3" w:rsidP="00B02EAA">
      <w:pPr>
        <w:pStyle w:val="References"/>
      </w:pPr>
      <w:r>
        <w:t xml:space="preserve">Bishop JH &amp; Mane F 2004, ‘The impacts of career-technical education on high school </w:t>
      </w:r>
      <w:proofErr w:type="spellStart"/>
      <w:r>
        <w:t>labor</w:t>
      </w:r>
      <w:proofErr w:type="spellEnd"/>
      <w:r>
        <w:t xml:space="preserve"> market success’, </w:t>
      </w:r>
      <w:r w:rsidRPr="00E0302A">
        <w:rPr>
          <w:i/>
        </w:rPr>
        <w:t>Economics of Education Review</w:t>
      </w:r>
      <w:r>
        <w:t>, vol.23, no.4, pp.381</w:t>
      </w:r>
      <w:r w:rsidR="0019561A">
        <w:t>−</w:t>
      </w:r>
      <w:r>
        <w:t>402.</w:t>
      </w:r>
    </w:p>
    <w:p w14:paraId="71DC1FB8" w14:textId="24F93E24" w:rsidR="004134E3" w:rsidRPr="004134E3" w:rsidRDefault="004134E3" w:rsidP="00B02EAA">
      <w:pPr>
        <w:pStyle w:val="References"/>
      </w:pPr>
      <w:r>
        <w:t>Clarke</w:t>
      </w:r>
      <w:r w:rsidR="000C0AB7">
        <w:t>,</w:t>
      </w:r>
      <w:r>
        <w:t xml:space="preserve"> K 2012</w:t>
      </w:r>
      <w:r w:rsidRPr="004F3F64">
        <w:t xml:space="preserve">, </w:t>
      </w:r>
      <w:r w:rsidRPr="00E0302A">
        <w:rPr>
          <w:i/>
        </w:rPr>
        <w:t xml:space="preserve">Entry to vocations: </w:t>
      </w:r>
      <w:r w:rsidR="0019561A" w:rsidRPr="0019561A">
        <w:rPr>
          <w:i/>
          <w:iCs/>
        </w:rPr>
        <w:t>t</w:t>
      </w:r>
      <w:r w:rsidRPr="0019561A">
        <w:rPr>
          <w:i/>
          <w:iCs/>
        </w:rPr>
        <w:t>he</w:t>
      </w:r>
      <w:r w:rsidRPr="00E0302A">
        <w:rPr>
          <w:i/>
        </w:rPr>
        <w:t xml:space="preserve"> efficacy of VET in </w:t>
      </w:r>
      <w:r w:rsidR="0019561A" w:rsidRPr="0019561A">
        <w:rPr>
          <w:i/>
          <w:iCs/>
        </w:rPr>
        <w:t>S</w:t>
      </w:r>
      <w:r w:rsidRPr="0019561A">
        <w:rPr>
          <w:i/>
          <w:iCs/>
        </w:rPr>
        <w:t>chools</w:t>
      </w:r>
      <w:r>
        <w:t>, NCVER, Adelaide.</w:t>
      </w:r>
    </w:p>
    <w:p w14:paraId="24B9B8D3" w14:textId="390AC1A8" w:rsidR="004134E3" w:rsidRDefault="004134E3" w:rsidP="00B02EAA">
      <w:pPr>
        <w:pStyle w:val="References"/>
      </w:pPr>
      <w:r>
        <w:t>Lamb</w:t>
      </w:r>
      <w:r w:rsidR="00DD4B4A">
        <w:t>,</w:t>
      </w:r>
      <w:r>
        <w:t xml:space="preserve"> </w:t>
      </w:r>
      <w:r w:rsidR="00DD4B4A">
        <w:t>S &amp;</w:t>
      </w:r>
      <w:r>
        <w:t xml:space="preserve"> Vickers</w:t>
      </w:r>
      <w:r w:rsidR="00DD4B4A">
        <w:t>, M</w:t>
      </w:r>
      <w:r>
        <w:t xml:space="preserve"> 2006</w:t>
      </w:r>
      <w:r w:rsidR="00DD4B4A">
        <w:t xml:space="preserve">, </w:t>
      </w:r>
      <w:r w:rsidR="000C0AB7" w:rsidRPr="00E0302A">
        <w:rPr>
          <w:i/>
        </w:rPr>
        <w:t>Variations in VET provision across Australian schools and their effects on student outcomes</w:t>
      </w:r>
      <w:r w:rsidR="0019561A">
        <w:t>,</w:t>
      </w:r>
      <w:r w:rsidR="00DD4B4A" w:rsidRPr="0019561A">
        <w:t xml:space="preserve"> </w:t>
      </w:r>
      <w:r w:rsidR="00DD4B4A">
        <w:t xml:space="preserve">LSAY </w:t>
      </w:r>
      <w:r w:rsidR="0019561A">
        <w:t xml:space="preserve">research report </w:t>
      </w:r>
      <w:r w:rsidR="00DD4B4A">
        <w:t xml:space="preserve">no.48, </w:t>
      </w:r>
      <w:r w:rsidR="00053DDD">
        <w:t>Australian Council for Educational Research</w:t>
      </w:r>
      <w:r w:rsidR="00DD4B4A">
        <w:t>, viewed 27</w:t>
      </w:r>
      <w:r w:rsidR="00E22A62">
        <w:t xml:space="preserve"> May </w:t>
      </w:r>
      <w:r w:rsidR="00DD4B4A">
        <w:t>2019, &lt;</w:t>
      </w:r>
      <w:r w:rsidR="00DD4B4A" w:rsidRPr="00DD4B4A">
        <w:t>https://research.acer.edu.au/lsay_research/53/</w:t>
      </w:r>
      <w:r w:rsidR="00DD4B4A">
        <w:t>&gt;.</w:t>
      </w:r>
    </w:p>
    <w:p w14:paraId="00D77BAA" w14:textId="7464CF11" w:rsidR="008306B3" w:rsidRPr="004F3F64" w:rsidRDefault="008306B3" w:rsidP="00B02EAA">
      <w:pPr>
        <w:pStyle w:val="References"/>
      </w:pPr>
      <w:r>
        <w:t>Meer</w:t>
      </w:r>
      <w:r w:rsidR="000C0AB7">
        <w:t>,</w:t>
      </w:r>
      <w:r>
        <w:t xml:space="preserve"> J 2007, ‘Evidence on the returns to secondary vocational education’, </w:t>
      </w:r>
      <w:r w:rsidRPr="00E0302A">
        <w:rPr>
          <w:i/>
        </w:rPr>
        <w:t>Economics of Education Review</w:t>
      </w:r>
      <w:r>
        <w:t>, vol.26, no.5, pp. 559</w:t>
      </w:r>
      <w:r w:rsidR="00E22A62">
        <w:t>−</w:t>
      </w:r>
      <w:r>
        <w:t>73.</w:t>
      </w:r>
    </w:p>
    <w:p w14:paraId="03F44E8C" w14:textId="11A1F1C2" w:rsidR="004134E3" w:rsidRDefault="008306B3" w:rsidP="00B02EAA">
      <w:pPr>
        <w:pStyle w:val="References"/>
      </w:pPr>
      <w:r>
        <w:t>Ministerial Council on Employment</w:t>
      </w:r>
      <w:r w:rsidR="00EB3023">
        <w:t>,</w:t>
      </w:r>
      <w:r>
        <w:t xml:space="preserve"> Education</w:t>
      </w:r>
      <w:r w:rsidR="004318E4">
        <w:t>,</w:t>
      </w:r>
      <w:r>
        <w:t xml:space="preserve"> Training and Youth Affairs </w:t>
      </w:r>
      <w:r w:rsidR="004134E3">
        <w:t>1999</w:t>
      </w:r>
      <w:r>
        <w:t xml:space="preserve">, </w:t>
      </w:r>
      <w:r w:rsidRPr="00E0302A">
        <w:rPr>
          <w:i/>
        </w:rPr>
        <w:t>The Adelaide declaration on national goals for schooling in the twenty-first century</w:t>
      </w:r>
      <w:r>
        <w:t xml:space="preserve">, MCEETYA, Canberra. </w:t>
      </w:r>
    </w:p>
    <w:p w14:paraId="4E7606CF" w14:textId="159AFA0B" w:rsidR="004134E3" w:rsidRPr="004F3F64" w:rsidRDefault="00E22A62" w:rsidP="00B02EAA">
      <w:pPr>
        <w:pStyle w:val="References"/>
      </w:pPr>
      <w:r>
        <w:t>−−</w:t>
      </w:r>
      <w:r w:rsidR="004134E3">
        <w:t>2003</w:t>
      </w:r>
      <w:r w:rsidR="008306B3">
        <w:t xml:space="preserve">, </w:t>
      </w:r>
      <w:r w:rsidR="00222858">
        <w:t>‘</w:t>
      </w:r>
      <w:r w:rsidR="008306B3">
        <w:t xml:space="preserve">National data on participation in </w:t>
      </w:r>
      <w:r w:rsidR="003974CB">
        <w:t xml:space="preserve">VET in Schools </w:t>
      </w:r>
      <w:r w:rsidR="008306B3">
        <w:t>programs and school-based new apprenticeships for the 2002 school year</w:t>
      </w:r>
      <w:r w:rsidR="00222858">
        <w:t>’</w:t>
      </w:r>
      <w:r w:rsidR="008306B3">
        <w:t>, MCEETYA, Canberra.</w:t>
      </w:r>
    </w:p>
    <w:p w14:paraId="32EF18CA" w14:textId="27B675F3" w:rsidR="004134E3" w:rsidRPr="000C0AB7" w:rsidRDefault="004134E3" w:rsidP="00B02EAA">
      <w:pPr>
        <w:pStyle w:val="References"/>
      </w:pPr>
      <w:r>
        <w:t xml:space="preserve">NCVER </w:t>
      </w:r>
      <w:r w:rsidR="00222858">
        <w:t xml:space="preserve">(National Centre for Vocational Education Research) </w:t>
      </w:r>
      <w:r>
        <w:t>2011</w:t>
      </w:r>
      <w:r w:rsidR="00DD4B4A">
        <w:t xml:space="preserve">, </w:t>
      </w:r>
      <w:r w:rsidR="000C0AB7" w:rsidRPr="00E0302A">
        <w:rPr>
          <w:i/>
        </w:rPr>
        <w:t>Young people in education and training</w:t>
      </w:r>
      <w:r w:rsidR="000C0AB7">
        <w:t>, NCVER, Adelaide.</w:t>
      </w:r>
    </w:p>
    <w:p w14:paraId="1996D7F9" w14:textId="45458C80" w:rsidR="004134E3" w:rsidRPr="004134E3" w:rsidRDefault="004134E3" w:rsidP="00B02EAA">
      <w:pPr>
        <w:pStyle w:val="References"/>
      </w:pPr>
      <w:proofErr w:type="spellStart"/>
      <w:r>
        <w:t>Polidano</w:t>
      </w:r>
      <w:proofErr w:type="spellEnd"/>
      <w:r w:rsidR="000C0AB7">
        <w:t>,</w:t>
      </w:r>
      <w:r>
        <w:t xml:space="preserve"> </w:t>
      </w:r>
      <w:r w:rsidR="000C0AB7">
        <w:t xml:space="preserve">C </w:t>
      </w:r>
      <w:r>
        <w:t xml:space="preserve">&amp; </w:t>
      </w:r>
      <w:proofErr w:type="spellStart"/>
      <w:r>
        <w:t>T</w:t>
      </w:r>
      <w:r w:rsidR="00053DDD">
        <w:t>a</w:t>
      </w:r>
      <w:r>
        <w:t>basso</w:t>
      </w:r>
      <w:proofErr w:type="spellEnd"/>
      <w:r w:rsidR="000C0AB7">
        <w:t>, D</w:t>
      </w:r>
      <w:r>
        <w:t xml:space="preserve"> 2014, ‘Making it real: </w:t>
      </w:r>
      <w:r w:rsidR="007011DF">
        <w:t>t</w:t>
      </w:r>
      <w:r>
        <w:t xml:space="preserve">he benefits of workplace learning in upper-secondary vocational education and training courses’, </w:t>
      </w:r>
      <w:r w:rsidRPr="00E0302A">
        <w:rPr>
          <w:i/>
        </w:rPr>
        <w:t>Economics of Education Review</w:t>
      </w:r>
      <w:r>
        <w:t>, vol.42, pp.130</w:t>
      </w:r>
      <w:r w:rsidR="007011DF">
        <w:t>−</w:t>
      </w:r>
      <w:r>
        <w:t>46.</w:t>
      </w:r>
    </w:p>
    <w:p w14:paraId="4AE83616" w14:textId="5F8652F2" w:rsidR="004134E3" w:rsidRDefault="004134E3" w:rsidP="00B02EAA">
      <w:pPr>
        <w:pStyle w:val="References"/>
      </w:pPr>
      <w:r>
        <w:t>Ryan</w:t>
      </w:r>
      <w:r w:rsidR="000C0AB7">
        <w:t>,</w:t>
      </w:r>
      <w:r>
        <w:t xml:space="preserve"> </w:t>
      </w:r>
      <w:r w:rsidR="000C0AB7">
        <w:t xml:space="preserve">R </w:t>
      </w:r>
      <w:r>
        <w:t>2002</w:t>
      </w:r>
      <w:r w:rsidR="000C0AB7">
        <w:t>, ‘</w:t>
      </w:r>
      <w:r w:rsidR="000C0AB7" w:rsidRPr="000C0AB7">
        <w:t xml:space="preserve">Making </w:t>
      </w:r>
      <w:r w:rsidR="003974CB">
        <w:t xml:space="preserve">VET in Schools </w:t>
      </w:r>
      <w:r w:rsidR="000C0AB7" w:rsidRPr="000C0AB7">
        <w:t xml:space="preserve">work: </w:t>
      </w:r>
      <w:r w:rsidR="007011DF">
        <w:t>a</w:t>
      </w:r>
      <w:r w:rsidR="000C0AB7" w:rsidRPr="000C0AB7">
        <w:t xml:space="preserve"> review of policy and practice in the implementation of vocational education and training in Australian schools</w:t>
      </w:r>
      <w:r w:rsidR="000C0AB7">
        <w:t>’,</w:t>
      </w:r>
      <w:r w:rsidR="000C0AB7" w:rsidRPr="000C0AB7">
        <w:t xml:space="preserve"> </w:t>
      </w:r>
      <w:r w:rsidR="000C0AB7" w:rsidRPr="00E0302A">
        <w:rPr>
          <w:i/>
        </w:rPr>
        <w:t>Journal of Educational Enquiry</w:t>
      </w:r>
      <w:r w:rsidR="000C0AB7" w:rsidRPr="000C0AB7">
        <w:t>,</w:t>
      </w:r>
      <w:r w:rsidR="000C0AB7">
        <w:t xml:space="preserve"> vol.</w:t>
      </w:r>
      <w:r w:rsidR="000C0AB7" w:rsidRPr="000C0AB7">
        <w:t>3</w:t>
      </w:r>
      <w:r w:rsidR="000C0AB7">
        <w:t>, no.</w:t>
      </w:r>
      <w:r w:rsidR="000C0AB7" w:rsidRPr="000C0AB7">
        <w:t>1</w:t>
      </w:r>
      <w:r w:rsidR="004F3F64">
        <w:t xml:space="preserve">. </w:t>
      </w:r>
    </w:p>
    <w:p w14:paraId="11578504" w14:textId="77777777" w:rsidR="005A108E" w:rsidRDefault="005A108E" w:rsidP="004134E3"/>
    <w:p w14:paraId="03457E58" w14:textId="77777777" w:rsidR="00AD173F" w:rsidRDefault="00AD173F" w:rsidP="004134E3">
      <w:pPr>
        <w:sectPr w:rsidR="00AD173F" w:rsidSect="00366753">
          <w:pgSz w:w="11907" w:h="16840" w:code="9"/>
          <w:pgMar w:top="1134" w:right="2552" w:bottom="851" w:left="1418" w:header="709" w:footer="38" w:gutter="0"/>
          <w:cols w:space="708"/>
          <w:docGrid w:linePitch="360"/>
        </w:sectPr>
      </w:pPr>
    </w:p>
    <w:p w14:paraId="62180426" w14:textId="10104663" w:rsidR="00AD173F" w:rsidRDefault="00AD173F" w:rsidP="00E612BF">
      <w:pPr>
        <w:pStyle w:val="Heading1"/>
      </w:pPr>
      <w:bookmarkStart w:id="157" w:name="_Toc19803937"/>
      <w:r>
        <w:lastRenderedPageBreak/>
        <w:t xml:space="preserve">Section </w:t>
      </w:r>
      <w:r w:rsidR="004D59CF">
        <w:t>4</w:t>
      </w:r>
      <w:r>
        <w:t xml:space="preserve">: </w:t>
      </w:r>
      <w:r w:rsidR="00062CA9">
        <w:t>School experiences, math</w:t>
      </w:r>
      <w:r w:rsidR="00922FDB">
        <w:t>s</w:t>
      </w:r>
      <w:r w:rsidR="00062CA9">
        <w:t>, and expectations of enrolling in university</w:t>
      </w:r>
      <w:bookmarkEnd w:id="157"/>
    </w:p>
    <w:p w14:paraId="1833D82B" w14:textId="366A3F44" w:rsidR="0081249F" w:rsidRPr="00B44E57" w:rsidRDefault="004B3A46" w:rsidP="00AD173F">
      <w:pPr>
        <w:pStyle w:val="Text"/>
      </w:pPr>
      <w:r w:rsidRPr="00B44E57">
        <w:t xml:space="preserve">Studying </w:t>
      </w:r>
      <w:r w:rsidR="0081249F" w:rsidRPr="00B44E57">
        <w:t xml:space="preserve">the pathways and transitions of students </w:t>
      </w:r>
      <w:r w:rsidR="00AD43CD" w:rsidRPr="00B44E57">
        <w:t>is a</w:t>
      </w:r>
      <w:r w:rsidR="0081249F" w:rsidRPr="00B44E57">
        <w:t xml:space="preserve"> goal of</w:t>
      </w:r>
      <w:r w:rsidR="00703C91">
        <w:t xml:space="preserve"> the Longitudinal Surveys of Australian Youth</w:t>
      </w:r>
      <w:r w:rsidR="0004054E" w:rsidRPr="00B44E57">
        <w:t xml:space="preserve"> </w:t>
      </w:r>
      <w:r w:rsidR="00703C91">
        <w:t>(</w:t>
      </w:r>
      <w:r w:rsidR="0081249F" w:rsidRPr="00B44E57">
        <w:t>LSAY</w:t>
      </w:r>
      <w:r w:rsidR="00703C91">
        <w:t>)</w:t>
      </w:r>
      <w:r w:rsidR="00AD43CD" w:rsidRPr="00B44E57">
        <w:t>. B</w:t>
      </w:r>
      <w:r w:rsidR="0081249F" w:rsidRPr="00B44E57">
        <w:t xml:space="preserve">y asking students </w:t>
      </w:r>
      <w:r w:rsidR="00922FDB" w:rsidRPr="00B44E57">
        <w:t>while</w:t>
      </w:r>
      <w:r w:rsidR="006F0CCA" w:rsidRPr="00B44E57">
        <w:t xml:space="preserve"> still</w:t>
      </w:r>
      <w:r w:rsidR="00922FDB" w:rsidRPr="00B44E57">
        <w:t xml:space="preserve"> in high school </w:t>
      </w:r>
      <w:r w:rsidR="0081249F" w:rsidRPr="00B44E57">
        <w:t>where they see themselves going</w:t>
      </w:r>
      <w:r w:rsidR="00AD43CD" w:rsidRPr="00B44E57">
        <w:t>,</w:t>
      </w:r>
      <w:r w:rsidR="0081249F" w:rsidRPr="00B44E57">
        <w:t xml:space="preserve"> we can examine where their expectations and hopes led</w:t>
      </w:r>
      <w:r w:rsidR="0013050A" w:rsidRPr="00B44E57">
        <w:t xml:space="preserve"> them and what effect their expectations </w:t>
      </w:r>
      <w:r w:rsidR="000E0A42" w:rsidRPr="00B44E57">
        <w:t xml:space="preserve">may </w:t>
      </w:r>
      <w:r w:rsidR="0013050A" w:rsidRPr="00B44E57">
        <w:t>have</w:t>
      </w:r>
      <w:r w:rsidR="00AD43CD" w:rsidRPr="00B44E57">
        <w:t xml:space="preserve"> had</w:t>
      </w:r>
      <w:r w:rsidR="0081249F" w:rsidRPr="00B44E57">
        <w:t>.</w:t>
      </w:r>
      <w:r w:rsidR="00B27A93" w:rsidRPr="00B44E57">
        <w:t xml:space="preserve"> Having</w:t>
      </w:r>
      <w:r w:rsidR="00B43312" w:rsidRPr="00B44E57">
        <w:t xml:space="preserve"> goals to complete Year 12 and making post-school study plans during high school are strong predictors of completing Year 12 and going on to take part in further education or training (</w:t>
      </w:r>
      <w:r w:rsidR="0004054E" w:rsidRPr="00B44E57">
        <w:t>Nguyen &amp; Blomberg</w:t>
      </w:r>
      <w:r w:rsidR="00B43312" w:rsidRPr="00B44E57">
        <w:t xml:space="preserve"> 2014)</w:t>
      </w:r>
      <w:r w:rsidR="000E0A42" w:rsidRPr="00B44E57">
        <w:t>. LSAY (and</w:t>
      </w:r>
      <w:r w:rsidR="0004054E" w:rsidRPr="00B44E57">
        <w:t xml:space="preserve"> the Programme for International Student Assessment</w:t>
      </w:r>
      <w:r w:rsidR="000E0A42" w:rsidRPr="00B44E57">
        <w:t xml:space="preserve"> </w:t>
      </w:r>
      <w:r w:rsidR="0004054E" w:rsidRPr="00B44E57">
        <w:t>(</w:t>
      </w:r>
      <w:r w:rsidR="000E0A42" w:rsidRPr="00B44E57">
        <w:t>PISA</w:t>
      </w:r>
      <w:r w:rsidR="0004054E" w:rsidRPr="00B44E57">
        <w:t>)</w:t>
      </w:r>
      <w:r w:rsidR="000E0A42" w:rsidRPr="00B44E57">
        <w:t xml:space="preserve">) </w:t>
      </w:r>
      <w:r w:rsidR="00AD43CD" w:rsidRPr="00B44E57">
        <w:t xml:space="preserve">allows for broader analysis </w:t>
      </w:r>
      <w:r w:rsidR="00FC1865" w:rsidRPr="00B44E57">
        <w:t>through looking</w:t>
      </w:r>
      <w:r w:rsidR="000E0A42" w:rsidRPr="00B44E57">
        <w:t xml:space="preserve"> at experiences during high school that can </w:t>
      </w:r>
      <w:proofErr w:type="gramStart"/>
      <w:r w:rsidR="000E0A42" w:rsidRPr="00B44E57">
        <w:t>have an effect on</w:t>
      </w:r>
      <w:proofErr w:type="gramEnd"/>
      <w:r w:rsidR="000E0A42" w:rsidRPr="00B44E57">
        <w:t xml:space="preserve"> specific</w:t>
      </w:r>
      <w:r w:rsidR="00F4757B" w:rsidRPr="00B44E57">
        <w:t xml:space="preserve"> post-school</w:t>
      </w:r>
      <w:r w:rsidR="000E0A42" w:rsidRPr="00B44E57">
        <w:t xml:space="preserve"> course choices</w:t>
      </w:r>
      <w:r w:rsidR="00105D47" w:rsidRPr="00B44E57">
        <w:t>.</w:t>
      </w:r>
    </w:p>
    <w:p w14:paraId="67594171" w14:textId="0DB3D4F2" w:rsidR="00105D47" w:rsidRPr="00B44E57" w:rsidRDefault="00B27A93" w:rsidP="00AD173F">
      <w:pPr>
        <w:pStyle w:val="Text"/>
      </w:pPr>
      <w:r w:rsidRPr="00B44E57">
        <w:t>LSAY data ha</w:t>
      </w:r>
      <w:r w:rsidR="006D4F61" w:rsidRPr="00B44E57">
        <w:t>ve</w:t>
      </w:r>
      <w:r w:rsidRPr="00B44E57">
        <w:t xml:space="preserve"> also been used to gain a better understanding of course selection </w:t>
      </w:r>
      <w:r w:rsidR="00AD43CD" w:rsidRPr="00B44E57">
        <w:t xml:space="preserve">in higher education </w:t>
      </w:r>
      <w:r w:rsidRPr="00B44E57">
        <w:t xml:space="preserve">by students. </w:t>
      </w:r>
      <w:r w:rsidR="00AD43CD" w:rsidRPr="00B44E57">
        <w:t>Potential s</w:t>
      </w:r>
      <w:r w:rsidRPr="00B44E57">
        <w:t xml:space="preserve">kill shortages in science, </w:t>
      </w:r>
      <w:r w:rsidR="00F22B92" w:rsidRPr="00B44E57">
        <w:t xml:space="preserve">technology, engineering and </w:t>
      </w:r>
      <w:r w:rsidRPr="00B44E57">
        <w:t xml:space="preserve">mathematics areas can </w:t>
      </w:r>
      <w:r w:rsidR="00AD43CD" w:rsidRPr="00B44E57">
        <w:t>be examined using</w:t>
      </w:r>
      <w:r w:rsidRPr="00B44E57">
        <w:t xml:space="preserve"> </w:t>
      </w:r>
      <w:r w:rsidR="008B6989" w:rsidRPr="00B44E57">
        <w:t xml:space="preserve">data from PISA through to the later waves of LSAY to understand how high school subject choices link to university course selection and </w:t>
      </w:r>
      <w:r w:rsidR="00EE59CE" w:rsidRPr="00B44E57">
        <w:t>subsequently to</w:t>
      </w:r>
      <w:r w:rsidR="008B6989" w:rsidRPr="00B44E57">
        <w:t xml:space="preserve"> early careers. </w:t>
      </w:r>
      <w:r w:rsidR="00F44A66" w:rsidRPr="00B44E57">
        <w:t>Previous research has shown that</w:t>
      </w:r>
      <w:r w:rsidR="00242B7E" w:rsidRPr="00B44E57">
        <w:t>,</w:t>
      </w:r>
      <w:r w:rsidR="00F44A66" w:rsidRPr="00B44E57">
        <w:t xml:space="preserve"> while over half of all school students may be studying two or more </w:t>
      </w:r>
      <w:r w:rsidR="0004054E" w:rsidRPr="00B44E57">
        <w:t>science, technology, engineering and maths (</w:t>
      </w:r>
      <w:r w:rsidR="00F44A66" w:rsidRPr="00B44E57">
        <w:t>STEM</w:t>
      </w:r>
      <w:r w:rsidR="0004054E" w:rsidRPr="00B44E57">
        <w:t>)</w:t>
      </w:r>
      <w:r w:rsidR="00F44A66" w:rsidRPr="00B44E57">
        <w:t xml:space="preserve"> subjects while in </w:t>
      </w:r>
      <w:r w:rsidR="00242B7E" w:rsidRPr="00B44E57">
        <w:t>Y</w:t>
      </w:r>
      <w:r w:rsidR="00F44A66" w:rsidRPr="00B44E57">
        <w:t>ear 12,</w:t>
      </w:r>
      <w:r w:rsidR="00242B7E" w:rsidRPr="00B44E57">
        <w:t xml:space="preserve"> fewer</w:t>
      </w:r>
      <w:r w:rsidR="00F44A66" w:rsidRPr="00B44E57">
        <w:t xml:space="preserve"> than a third will go on to study STEM subjects</w:t>
      </w:r>
      <w:r w:rsidR="00716DE3" w:rsidRPr="00B44E57">
        <w:t xml:space="preserve"> after leaving </w:t>
      </w:r>
      <w:r w:rsidR="00F44A66" w:rsidRPr="00B44E57">
        <w:t>school (</w:t>
      </w:r>
      <w:r w:rsidR="00053DDD" w:rsidRPr="00B44E57">
        <w:t>Anlezark</w:t>
      </w:r>
      <w:r w:rsidR="00F44A66" w:rsidRPr="00B44E57">
        <w:t xml:space="preserve"> et al</w:t>
      </w:r>
      <w:r w:rsidR="00716DE3" w:rsidRPr="00B44E57">
        <w:t>.</w:t>
      </w:r>
      <w:r w:rsidR="00F44A66" w:rsidRPr="00B44E57">
        <w:t xml:space="preserve"> 2008; Lim et al</w:t>
      </w:r>
      <w:r w:rsidR="00716DE3" w:rsidRPr="00B44E57">
        <w:t>.</w:t>
      </w:r>
      <w:r w:rsidR="00F44A66" w:rsidRPr="00B44E57">
        <w:t xml:space="preserve"> 2009).</w:t>
      </w:r>
    </w:p>
    <w:p w14:paraId="1B513A69" w14:textId="1A3AD15D" w:rsidR="00105D47" w:rsidRPr="00B44E57" w:rsidRDefault="00105D47" w:rsidP="00AD173F">
      <w:pPr>
        <w:pStyle w:val="Text"/>
      </w:pPr>
      <w:r w:rsidRPr="00B44E57">
        <w:t xml:space="preserve">The three papers in this section have used sophisticated analysis techniques to draw attention to factors influencing student pathways. </w:t>
      </w:r>
      <w:r w:rsidR="00F44A66" w:rsidRPr="00B44E57">
        <w:t>First, Tomasz</w:t>
      </w:r>
      <w:r w:rsidR="00FC3F67" w:rsidRPr="00B44E57">
        <w:t>e</w:t>
      </w:r>
      <w:r w:rsidR="00F44A66" w:rsidRPr="00B44E57">
        <w:t xml:space="preserve">wski explores the roles of schools and teachers in supporting students from low socioeconomic </w:t>
      </w:r>
      <w:r w:rsidR="00615453" w:rsidRPr="00B44E57">
        <w:t>backgrounds</w:t>
      </w:r>
      <w:r w:rsidR="00F44A66" w:rsidRPr="00B44E57">
        <w:t xml:space="preserve"> to </w:t>
      </w:r>
      <w:r w:rsidR="00615453" w:rsidRPr="00B44E57">
        <w:t>enrol in university</w:t>
      </w:r>
      <w:r w:rsidR="00062CA9" w:rsidRPr="00B44E57">
        <w:t>, specifically looking at the types of career guidance and school experiences</w:t>
      </w:r>
      <w:r w:rsidR="00FA456D" w:rsidRPr="00B44E57">
        <w:t xml:space="preserve"> that exert the most impact</w:t>
      </w:r>
      <w:r w:rsidR="00062CA9" w:rsidRPr="00B44E57">
        <w:t xml:space="preserve">. The remaining two chapters </w:t>
      </w:r>
      <w:r w:rsidR="002A6ADE" w:rsidRPr="00B44E57">
        <w:t>focus on</w:t>
      </w:r>
      <w:r w:rsidR="00062CA9" w:rsidRPr="00B44E57">
        <w:t xml:space="preserve"> STEM (particularly math</w:t>
      </w:r>
      <w:r w:rsidR="00FA456D" w:rsidRPr="00B44E57">
        <w:t>s</w:t>
      </w:r>
      <w:r w:rsidR="00062CA9" w:rsidRPr="00B44E57">
        <w:t xml:space="preserve">). Law </w:t>
      </w:r>
      <w:r w:rsidR="005721B9" w:rsidRPr="00B44E57">
        <w:t>considers</w:t>
      </w:r>
      <w:r w:rsidR="00062CA9" w:rsidRPr="00B44E57">
        <w:t xml:space="preserve"> the educational pathways of men and women to </w:t>
      </w:r>
      <w:r w:rsidR="00FA456D" w:rsidRPr="00B44E57">
        <w:t>examine</w:t>
      </w:r>
      <w:r w:rsidR="00062CA9" w:rsidRPr="00B44E57">
        <w:t xml:space="preserve"> differences in studying math</w:t>
      </w:r>
      <w:r w:rsidR="00FA456D" w:rsidRPr="00B44E57">
        <w:t>s</w:t>
      </w:r>
      <w:r w:rsidR="00062CA9" w:rsidRPr="00B44E57">
        <w:t xml:space="preserve">-intensive fields at </w:t>
      </w:r>
      <w:r w:rsidR="0035085D" w:rsidRPr="00B44E57">
        <w:t>university</w:t>
      </w:r>
      <w:r w:rsidR="00062CA9" w:rsidRPr="00B44E57">
        <w:t>, whereas Parker uses the math</w:t>
      </w:r>
      <w:r w:rsidR="00FA456D" w:rsidRPr="00B44E57">
        <w:t>s</w:t>
      </w:r>
      <w:r w:rsidR="00062CA9" w:rsidRPr="00B44E57">
        <w:t xml:space="preserve"> self-efficacy and self-concept scores from PISA</w:t>
      </w:r>
      <w:r w:rsidR="0035085D" w:rsidRPr="00B44E57">
        <w:t xml:space="preserve"> and then university entrance scores and </w:t>
      </w:r>
      <w:r w:rsidR="00FA456D" w:rsidRPr="00B44E57">
        <w:t>the</w:t>
      </w:r>
      <w:r w:rsidR="0035085D" w:rsidRPr="00B44E57">
        <w:t xml:space="preserve"> selection</w:t>
      </w:r>
      <w:r w:rsidR="00FA456D" w:rsidRPr="00B44E57">
        <w:t xml:space="preserve"> of majors</w:t>
      </w:r>
      <w:r w:rsidR="0035085D" w:rsidRPr="00B44E57">
        <w:t xml:space="preserve"> to </w:t>
      </w:r>
      <w:r w:rsidR="00FA456D" w:rsidRPr="00B44E57">
        <w:t xml:space="preserve">investigate </w:t>
      </w:r>
      <w:r w:rsidR="0035085D" w:rsidRPr="00B44E57">
        <w:t>how beliefs about math</w:t>
      </w:r>
      <w:r w:rsidR="00FA456D" w:rsidRPr="00B44E57">
        <w:t>s</w:t>
      </w:r>
      <w:r w:rsidR="0035085D" w:rsidRPr="00B44E57">
        <w:t xml:space="preserve"> in high school can predict future achievement.</w:t>
      </w:r>
    </w:p>
    <w:p w14:paraId="4A4EF77F" w14:textId="6DB45687" w:rsidR="00AD173F" w:rsidRDefault="00B43312" w:rsidP="00B02EAA">
      <w:pPr>
        <w:pStyle w:val="Heading2"/>
        <w:spacing w:after="240"/>
      </w:pPr>
      <w:bookmarkStart w:id="158" w:name="_Toc15048925"/>
      <w:bookmarkStart w:id="159" w:name="_Toc19803938"/>
      <w:r>
        <w:t>References</w:t>
      </w:r>
      <w:bookmarkEnd w:id="158"/>
      <w:bookmarkEnd w:id="159"/>
    </w:p>
    <w:p w14:paraId="767DC315" w14:textId="55B4CBF3" w:rsidR="00F44A66" w:rsidRPr="00B02EAA" w:rsidRDefault="00053DDD" w:rsidP="00B02EAA">
      <w:pPr>
        <w:pStyle w:val="References"/>
      </w:pPr>
      <w:r w:rsidRPr="00B02EAA">
        <w:t>Anlezark</w:t>
      </w:r>
      <w:r w:rsidR="00FA456D">
        <w:t>,</w:t>
      </w:r>
      <w:r w:rsidR="0035085D" w:rsidRPr="00B02EAA">
        <w:t xml:space="preserve"> A, Lim</w:t>
      </w:r>
      <w:r w:rsidR="00FA456D">
        <w:t>,</w:t>
      </w:r>
      <w:r w:rsidR="0035085D" w:rsidRPr="00B02EAA">
        <w:t xml:space="preserve"> P, Semo</w:t>
      </w:r>
      <w:r w:rsidR="00FA456D">
        <w:t>,</w:t>
      </w:r>
      <w:r w:rsidR="0035085D" w:rsidRPr="00B02EAA">
        <w:t xml:space="preserve"> R </w:t>
      </w:r>
      <w:r w:rsidR="00FA456D">
        <w:t>&amp;</w:t>
      </w:r>
      <w:r w:rsidR="0035085D" w:rsidRPr="00B02EAA">
        <w:t xml:space="preserve"> Nguyen</w:t>
      </w:r>
      <w:r w:rsidR="00FA456D">
        <w:t>,</w:t>
      </w:r>
      <w:r w:rsidR="0035085D" w:rsidRPr="00B02EAA">
        <w:t xml:space="preserve"> N 2008, </w:t>
      </w:r>
      <w:r w:rsidR="0035085D" w:rsidRPr="00E0302A">
        <w:rPr>
          <w:i/>
        </w:rPr>
        <w:t>From STEM to leaf: where are Australia’s science, mathematics, engineering and technology (STEM) students heading</w:t>
      </w:r>
      <w:r w:rsidR="0035085D" w:rsidRPr="00FA456D">
        <w:rPr>
          <w:i/>
          <w:iCs/>
        </w:rPr>
        <w:t>?</w:t>
      </w:r>
      <w:r w:rsidR="0035085D" w:rsidRPr="00B02EAA">
        <w:t>, NCVER Report, NCVER, Adelaide.</w:t>
      </w:r>
      <w:r w:rsidR="00F44A66" w:rsidRPr="00B02EAA">
        <w:t xml:space="preserve"> </w:t>
      </w:r>
    </w:p>
    <w:p w14:paraId="0DFA023D" w14:textId="7576C2F8" w:rsidR="00F44A66" w:rsidRPr="00B02EAA" w:rsidRDefault="00F44A66" w:rsidP="00B02EAA">
      <w:pPr>
        <w:pStyle w:val="References"/>
      </w:pPr>
      <w:r w:rsidRPr="00B02EAA">
        <w:t>Lim</w:t>
      </w:r>
      <w:r w:rsidR="00FA456D">
        <w:t>,</w:t>
      </w:r>
      <w:r w:rsidR="0035085D" w:rsidRPr="00B02EAA">
        <w:t xml:space="preserve"> P, </w:t>
      </w:r>
      <w:r w:rsidR="00053DDD" w:rsidRPr="00B02EAA">
        <w:t>Anlezark</w:t>
      </w:r>
      <w:r w:rsidR="00A00C84">
        <w:t>,</w:t>
      </w:r>
      <w:r w:rsidR="0035085D" w:rsidRPr="00B02EAA">
        <w:t xml:space="preserve"> A, Semo</w:t>
      </w:r>
      <w:r w:rsidR="00A00C84">
        <w:t>,</w:t>
      </w:r>
      <w:r w:rsidR="0035085D" w:rsidRPr="00B02EAA">
        <w:t xml:space="preserve"> R &amp; Nguyen</w:t>
      </w:r>
      <w:r w:rsidR="00A00C84">
        <w:t>,</w:t>
      </w:r>
      <w:r w:rsidR="0035085D" w:rsidRPr="00B02EAA">
        <w:t xml:space="preserve"> N 2009, </w:t>
      </w:r>
      <w:r w:rsidR="00A00C84">
        <w:t>‘</w:t>
      </w:r>
      <w:r w:rsidR="0035085D" w:rsidRPr="00B02EAA">
        <w:t>VET pathways into science, technology, engineering and maths occupations</w:t>
      </w:r>
      <w:r w:rsidR="00A00C84">
        <w:t>’</w:t>
      </w:r>
      <w:r w:rsidR="0035085D" w:rsidRPr="00B02EAA">
        <w:t>, AVETRA conference paper</w:t>
      </w:r>
      <w:r w:rsidR="00AD43CD">
        <w:t>, New South Wales, 2009, &lt;</w:t>
      </w:r>
      <w:r w:rsidR="00987218" w:rsidRPr="00987218">
        <w:t xml:space="preserve"> https://www.avetra.org.au/pages/conference-archives-2009.html</w:t>
      </w:r>
      <w:r w:rsidR="00987218">
        <w:t>&gt;.</w:t>
      </w:r>
    </w:p>
    <w:p w14:paraId="204124A9" w14:textId="34CFA77E" w:rsidR="00AD173F" w:rsidRDefault="00A670A0" w:rsidP="00B02EAA">
      <w:pPr>
        <w:pStyle w:val="References"/>
      </w:pPr>
      <w:r w:rsidRPr="00B02EAA">
        <w:t>Nguyen</w:t>
      </w:r>
      <w:r>
        <w:t>,</w:t>
      </w:r>
      <w:r w:rsidRPr="00B02EAA">
        <w:t xml:space="preserve"> N</w:t>
      </w:r>
      <w:r>
        <w:t xml:space="preserve"> &amp; Blomberg, D</w:t>
      </w:r>
      <w:r w:rsidR="00B43312" w:rsidRPr="00B02EAA">
        <w:t xml:space="preserve"> 2014, </w:t>
      </w:r>
      <w:r w:rsidR="00987218" w:rsidRPr="00987218">
        <w:rPr>
          <w:i/>
        </w:rPr>
        <w:t>The role of aspirations in the educational and occupational choices of young people</w:t>
      </w:r>
      <w:r w:rsidR="00B43312" w:rsidRPr="00B02EAA">
        <w:t xml:space="preserve">, NCVER </w:t>
      </w:r>
      <w:r w:rsidR="00C26827" w:rsidRPr="00B02EAA">
        <w:t xml:space="preserve">briefing papers </w:t>
      </w:r>
      <w:r w:rsidR="000E0A42" w:rsidRPr="00B02EAA">
        <w:t>no.28</w:t>
      </w:r>
      <w:r w:rsidR="00C26827">
        <w:t>, NCVER, Adelaide</w:t>
      </w:r>
      <w:r w:rsidR="000E0A42" w:rsidRPr="00B02EAA">
        <w:t>.</w:t>
      </w:r>
      <w:r w:rsidR="00AD173F">
        <w:br w:type="page"/>
      </w:r>
    </w:p>
    <w:p w14:paraId="796A7D6D" w14:textId="7FED4311" w:rsidR="0035085D" w:rsidRDefault="0035085D" w:rsidP="00E612BF">
      <w:pPr>
        <w:pStyle w:val="Heading1"/>
      </w:pPr>
      <w:bookmarkStart w:id="160" w:name="_Toc19803939"/>
      <w:r>
        <w:lastRenderedPageBreak/>
        <w:t>Schools and career guidance key to widening university participation</w:t>
      </w:r>
      <w:bookmarkEnd w:id="160"/>
    </w:p>
    <w:p w14:paraId="055AA720" w14:textId="36E1B704" w:rsidR="0035085D" w:rsidRPr="00E0302A" w:rsidRDefault="0035085D" w:rsidP="006A1650">
      <w:pPr>
        <w:pStyle w:val="Text"/>
        <w:rPr>
          <w:i/>
          <w:sz w:val="22"/>
          <w:szCs w:val="22"/>
        </w:rPr>
      </w:pPr>
      <w:r w:rsidRPr="00E0302A">
        <w:rPr>
          <w:i/>
          <w:sz w:val="22"/>
          <w:szCs w:val="22"/>
        </w:rPr>
        <w:t>Wojtek Tomaszewski</w:t>
      </w:r>
      <w:r w:rsidR="002520D7">
        <w:rPr>
          <w:i/>
          <w:sz w:val="22"/>
          <w:szCs w:val="22"/>
        </w:rPr>
        <w:t>, The University of Queensland</w:t>
      </w:r>
      <w:r w:rsidR="00CE088E">
        <w:rPr>
          <w:i/>
          <w:sz w:val="22"/>
          <w:szCs w:val="22"/>
        </w:rPr>
        <w:br/>
        <w:t>Francisco Perales, The University of Queensland</w:t>
      </w:r>
      <w:r w:rsidR="00CE088E">
        <w:rPr>
          <w:i/>
          <w:sz w:val="22"/>
          <w:szCs w:val="22"/>
        </w:rPr>
        <w:br/>
        <w:t>Ning Xiang, The University of Queensland</w:t>
      </w:r>
    </w:p>
    <w:p w14:paraId="01CA3917" w14:textId="78A55FD7" w:rsidR="0035085D" w:rsidRPr="00E5118E" w:rsidRDefault="00CB03B0" w:rsidP="006A1650">
      <w:pPr>
        <w:pStyle w:val="Text"/>
      </w:pPr>
      <w:r>
        <w:rPr>
          <w:i/>
        </w:rPr>
        <w:t>T</w:t>
      </w:r>
      <w:r w:rsidR="00C428F5">
        <w:rPr>
          <w:i/>
        </w:rPr>
        <w:t xml:space="preserve">his </w:t>
      </w:r>
      <w:r w:rsidR="0035085D" w:rsidRPr="006A1650">
        <w:rPr>
          <w:i/>
        </w:rPr>
        <w:t>c</w:t>
      </w:r>
      <w:r w:rsidR="00C10030">
        <w:rPr>
          <w:i/>
        </w:rPr>
        <w:t>hapter</w:t>
      </w:r>
      <w:r w:rsidR="0035085D" w:rsidRPr="006A1650">
        <w:rPr>
          <w:i/>
        </w:rPr>
        <w:t xml:space="preserve"> is a summary of </w:t>
      </w:r>
      <w:r w:rsidR="00C10030">
        <w:rPr>
          <w:i/>
        </w:rPr>
        <w:t xml:space="preserve">2017 </w:t>
      </w:r>
      <w:r w:rsidR="0035085D" w:rsidRPr="006A1650">
        <w:rPr>
          <w:i/>
        </w:rPr>
        <w:t>research paper</w:t>
      </w:r>
      <w:r w:rsidR="00731649">
        <w:rPr>
          <w:i/>
        </w:rPr>
        <w:t xml:space="preserve"> by W </w:t>
      </w:r>
      <w:r w:rsidR="00731649" w:rsidRPr="006A1650">
        <w:rPr>
          <w:i/>
        </w:rPr>
        <w:t xml:space="preserve">Tomaszewski, </w:t>
      </w:r>
      <w:r w:rsidR="00731649">
        <w:rPr>
          <w:i/>
        </w:rPr>
        <w:t>F</w:t>
      </w:r>
      <w:r w:rsidR="00731649" w:rsidRPr="006A1650">
        <w:rPr>
          <w:i/>
        </w:rPr>
        <w:t xml:space="preserve"> Perales </w:t>
      </w:r>
      <w:r w:rsidR="00731649">
        <w:rPr>
          <w:i/>
        </w:rPr>
        <w:t>and N</w:t>
      </w:r>
      <w:r w:rsidR="00731649" w:rsidRPr="006A1650">
        <w:rPr>
          <w:i/>
        </w:rPr>
        <w:t xml:space="preserve"> </w:t>
      </w:r>
      <w:r w:rsidR="00561E78">
        <w:rPr>
          <w:i/>
        </w:rPr>
        <w:t>X</w:t>
      </w:r>
      <w:r w:rsidR="00731649" w:rsidRPr="006A1650">
        <w:rPr>
          <w:i/>
        </w:rPr>
        <w:t>iang</w:t>
      </w:r>
      <w:r w:rsidR="00B97989">
        <w:rPr>
          <w:i/>
        </w:rPr>
        <w:t>, entitled ‘</w:t>
      </w:r>
      <w:r w:rsidR="00B97989" w:rsidRPr="00B97989">
        <w:rPr>
          <w:i/>
          <w:iCs/>
        </w:rPr>
        <w:t>Career guidance, school experiences and the university participation of young people from low socio-economic backgrounds</w:t>
      </w:r>
      <w:r w:rsidR="00D12EF8">
        <w:rPr>
          <w:i/>
          <w:iCs/>
        </w:rPr>
        <w:t xml:space="preserve">’, </w:t>
      </w:r>
      <w:r w:rsidR="00D12EF8">
        <w:rPr>
          <w:iCs/>
        </w:rPr>
        <w:t>International Journal of Educational Research</w:t>
      </w:r>
      <w:r w:rsidR="00D12EF8">
        <w:rPr>
          <w:i/>
          <w:iCs/>
        </w:rPr>
        <w:t>, vol.85, pp. 11-23</w:t>
      </w:r>
      <w:r w:rsidR="00731649" w:rsidRPr="00E5118E">
        <w:t>.</w:t>
      </w:r>
    </w:p>
    <w:p w14:paraId="110D876D" w14:textId="77777777" w:rsidR="0035085D" w:rsidRDefault="0035085D" w:rsidP="006A1650">
      <w:pPr>
        <w:pStyle w:val="Text"/>
      </w:pPr>
      <w:r>
        <w:t>University attendance is one of the strongest predictors of labour market success, personal health and wellbeing, and positive social outcomes. However, people from low socioeconomic backgrounds are disproportionately excluded from the benefits of tertiary education.</w:t>
      </w:r>
    </w:p>
    <w:p w14:paraId="4F111DAA" w14:textId="26AAE855" w:rsidR="0035085D" w:rsidRDefault="0035085D" w:rsidP="006A1650">
      <w:pPr>
        <w:pStyle w:val="Text"/>
      </w:pPr>
      <w:r>
        <w:t xml:space="preserve">Since the release of the </w:t>
      </w:r>
      <w:r>
        <w:rPr>
          <w:i/>
        </w:rPr>
        <w:t xml:space="preserve">A </w:t>
      </w:r>
      <w:r w:rsidR="00C25488">
        <w:rPr>
          <w:i/>
        </w:rPr>
        <w:t>fair chance for all</w:t>
      </w:r>
      <w:r w:rsidR="00C25488">
        <w:t xml:space="preserve"> </w:t>
      </w:r>
      <w:r>
        <w:t>report in 1990</w:t>
      </w:r>
      <w:r w:rsidR="00F37A33">
        <w:t xml:space="preserve"> (Department of Employment, Education and Training 1990)</w:t>
      </w:r>
      <w:r>
        <w:t xml:space="preserve">, Australian </w:t>
      </w:r>
      <w:r w:rsidR="00C25488">
        <w:t xml:space="preserve">higher education </w:t>
      </w:r>
      <w:r>
        <w:t>policy has focused on increasing the number of students from disadvantaged backgrounds attending university. Yet, despite more than 25 years of policies aimed at reducing the gap, there is still a significant difference between the numbers of students from advantaged and disadvantaged backgrounds enrolling in university.</w:t>
      </w:r>
    </w:p>
    <w:p w14:paraId="5EABDE05" w14:textId="40DAD8F6" w:rsidR="0035085D" w:rsidRDefault="0035085D" w:rsidP="006A1650">
      <w:pPr>
        <w:pStyle w:val="Text"/>
      </w:pPr>
      <w:r>
        <w:t xml:space="preserve">This brief </w:t>
      </w:r>
      <w:r w:rsidR="00CD2605">
        <w:t xml:space="preserve">paper </w:t>
      </w:r>
      <w:r>
        <w:t xml:space="preserve">provides a summary of our research findings, which highlight the key role of teachers and schools in supporting students from low socioeconomic backgrounds to enrol in university. Good teachers and supportive school environments have the capacity to compensate for some </w:t>
      </w:r>
      <w:r w:rsidR="006D2868">
        <w:t xml:space="preserve">of the </w:t>
      </w:r>
      <w:r>
        <w:t xml:space="preserve">deficits felt more strongly by students from low socioeconomic backgrounds (such as a lack of </w:t>
      </w:r>
      <w:r w:rsidR="006D2868">
        <w:t xml:space="preserve">higher education </w:t>
      </w:r>
      <w:r>
        <w:t>aspirations, information about university and role models).</w:t>
      </w:r>
    </w:p>
    <w:p w14:paraId="027148CD" w14:textId="77777777" w:rsidR="0035085D" w:rsidRDefault="0035085D" w:rsidP="0035085D">
      <w:pPr>
        <w:pStyle w:val="Heading2"/>
      </w:pPr>
      <w:bookmarkStart w:id="161" w:name="_Toc15048927"/>
      <w:bookmarkStart w:id="162" w:name="_Toc19803940"/>
      <w:r>
        <w:t>Key findings</w:t>
      </w:r>
      <w:bookmarkEnd w:id="161"/>
      <w:bookmarkEnd w:id="162"/>
    </w:p>
    <w:p w14:paraId="4F0291ED" w14:textId="524C72FA" w:rsidR="0035085D" w:rsidRDefault="0035085D" w:rsidP="00FD5BB4">
      <w:pPr>
        <w:pStyle w:val="Text"/>
        <w:numPr>
          <w:ilvl w:val="0"/>
          <w:numId w:val="31"/>
        </w:numPr>
      </w:pPr>
      <w:r>
        <w:t>By age 25</w:t>
      </w:r>
      <w:r w:rsidR="006D2868">
        <w:t xml:space="preserve"> years</w:t>
      </w:r>
      <w:r>
        <w:t xml:space="preserve">, 35% of students from low socioeconomic backgrounds have enrolled in university, compared </w:t>
      </w:r>
      <w:r w:rsidR="006D2868">
        <w:t>with</w:t>
      </w:r>
      <w:r>
        <w:t xml:space="preserve"> 64% of students from higher socioeconomic backgrounds.</w:t>
      </w:r>
    </w:p>
    <w:p w14:paraId="30A50672" w14:textId="115595EE" w:rsidR="0035085D" w:rsidRDefault="0035085D" w:rsidP="00FD5BB4">
      <w:pPr>
        <w:pStyle w:val="Text"/>
        <w:numPr>
          <w:ilvl w:val="0"/>
          <w:numId w:val="31"/>
        </w:numPr>
      </w:pPr>
      <w:r>
        <w:t>Positive school experiences (such as good student</w:t>
      </w:r>
      <w:r w:rsidR="006D2868">
        <w:t>−</w:t>
      </w:r>
      <w:r>
        <w:t xml:space="preserve">teacher relationships and a positive learning climate) and some forms of career guidance (talks by </w:t>
      </w:r>
      <w:r w:rsidR="0004054E">
        <w:t>technical and further education (</w:t>
      </w:r>
      <w:r>
        <w:t>TAFE</w:t>
      </w:r>
      <w:r w:rsidR="0004054E">
        <w:t>)</w:t>
      </w:r>
      <w:r>
        <w:t xml:space="preserve"> or university representatives and school career advisors) increase the chances of university enrolment by students of all backgrounds.</w:t>
      </w:r>
    </w:p>
    <w:p w14:paraId="45F5099F" w14:textId="774134E9" w:rsidR="0035085D" w:rsidRDefault="0035085D" w:rsidP="00FD5BB4">
      <w:pPr>
        <w:pStyle w:val="Text"/>
        <w:numPr>
          <w:ilvl w:val="0"/>
          <w:numId w:val="31"/>
        </w:numPr>
      </w:pPr>
      <w:r>
        <w:t>The positive effects of student</w:t>
      </w:r>
      <w:r w:rsidR="003F709F">
        <w:t>−</w:t>
      </w:r>
      <w:r>
        <w:t xml:space="preserve">teacher relationships and talks by career advisors on university enrolment are greater for students from low socioeconomic backgrounds compared </w:t>
      </w:r>
      <w:r w:rsidR="003F709F">
        <w:t>with</w:t>
      </w:r>
      <w:r>
        <w:t xml:space="preserve"> students from higher socioeconomic backgrounds.</w:t>
      </w:r>
    </w:p>
    <w:p w14:paraId="647EFA2B" w14:textId="77777777" w:rsidR="0035085D" w:rsidRDefault="0035085D" w:rsidP="00037D3A">
      <w:pPr>
        <w:pStyle w:val="Heading2"/>
      </w:pPr>
      <w:bookmarkStart w:id="163" w:name="_Toc15048928"/>
      <w:bookmarkStart w:id="164" w:name="_Toc19803941"/>
      <w:r>
        <w:lastRenderedPageBreak/>
        <w:t>Policy implications</w:t>
      </w:r>
      <w:bookmarkEnd w:id="163"/>
      <w:bookmarkEnd w:id="164"/>
    </w:p>
    <w:p w14:paraId="7650228D" w14:textId="37064402" w:rsidR="0035085D" w:rsidRDefault="0035085D" w:rsidP="00037D3A">
      <w:pPr>
        <w:pStyle w:val="Text"/>
        <w:numPr>
          <w:ilvl w:val="0"/>
          <w:numId w:val="31"/>
        </w:numPr>
      </w:pPr>
      <w:r>
        <w:t xml:space="preserve">School-based interventions can be helpful in reducing the university enrolment gap between students from higher and </w:t>
      </w:r>
      <w:r w:rsidR="00C00F44">
        <w:t xml:space="preserve">those from </w:t>
      </w:r>
      <w:r>
        <w:t>lower socioeconomic backgrounds.</w:t>
      </w:r>
    </w:p>
    <w:p w14:paraId="7B4A80BE" w14:textId="77777777" w:rsidR="0035085D" w:rsidRDefault="0035085D" w:rsidP="00037D3A">
      <w:pPr>
        <w:pStyle w:val="Text"/>
        <w:numPr>
          <w:ilvl w:val="0"/>
          <w:numId w:val="31"/>
        </w:numPr>
      </w:pPr>
      <w:r>
        <w:t>Institutional interventions need to incorporate school factors with proven success in reaching low socioeconomic background students. These include:</w:t>
      </w:r>
    </w:p>
    <w:p w14:paraId="7439ED3C" w14:textId="26AEBD12" w:rsidR="0035085D" w:rsidRDefault="003F709F" w:rsidP="00037D3A">
      <w:pPr>
        <w:pStyle w:val="Text"/>
        <w:numPr>
          <w:ilvl w:val="1"/>
          <w:numId w:val="31"/>
        </w:numPr>
      </w:pPr>
      <w:r>
        <w:t>c</w:t>
      </w:r>
      <w:r w:rsidR="0035085D">
        <w:t>areer advice and guidance delivered by school, TAFE or university representatives</w:t>
      </w:r>
    </w:p>
    <w:p w14:paraId="6D4F0C82" w14:textId="345B7E40" w:rsidR="0035085D" w:rsidRDefault="003F709F" w:rsidP="00037D3A">
      <w:pPr>
        <w:pStyle w:val="Text"/>
        <w:numPr>
          <w:ilvl w:val="1"/>
          <w:numId w:val="31"/>
        </w:numPr>
      </w:pPr>
      <w:r>
        <w:t>m</w:t>
      </w:r>
      <w:r w:rsidR="002011AC">
        <w:t xml:space="preserve">easures </w:t>
      </w:r>
      <w:r w:rsidR="0035085D">
        <w:t>aimed at ensuring positive school experiences through student</w:t>
      </w:r>
      <w:r>
        <w:t>−</w:t>
      </w:r>
      <w:r w:rsidR="0035085D">
        <w:t>teacher relationships, and student engagement with school and the learning process.</w:t>
      </w:r>
    </w:p>
    <w:p w14:paraId="0C9FBEDB" w14:textId="77777777" w:rsidR="0035085D" w:rsidRDefault="0035085D" w:rsidP="00037D3A">
      <w:pPr>
        <w:pStyle w:val="Heading2"/>
      </w:pPr>
      <w:bookmarkStart w:id="165" w:name="_Toc15048929"/>
      <w:bookmarkStart w:id="166" w:name="_Toc19803942"/>
      <w:r>
        <w:t>The importance of university participation</w:t>
      </w:r>
      <w:bookmarkEnd w:id="165"/>
      <w:bookmarkEnd w:id="166"/>
    </w:p>
    <w:p w14:paraId="67699320" w14:textId="7FE5D3FF" w:rsidR="0035085D" w:rsidRDefault="0035085D" w:rsidP="002011AC">
      <w:pPr>
        <w:pStyle w:val="Text"/>
      </w:pPr>
      <w:r>
        <w:t xml:space="preserve">Participation in university and </w:t>
      </w:r>
      <w:r w:rsidR="003F709F">
        <w:t xml:space="preserve">the </w:t>
      </w:r>
      <w:r>
        <w:t xml:space="preserve">attainment of tertiary-level qualifications play a significant role in improving a person’s lifelong prospects. Not only are they a strong predictor of labour market success, but they also increase the likelihood of maintaining good health and reduce the probability of family breakdown. Due to improved work prospects, university-educated individuals are also less likely to live in households reporting financial difficulties, or to become dependent on income support from the </w:t>
      </w:r>
      <w:r w:rsidR="00322FF7">
        <w:t>g</w:t>
      </w:r>
      <w:r>
        <w:t>overnment.</w:t>
      </w:r>
    </w:p>
    <w:p w14:paraId="583E1BF9" w14:textId="77777777" w:rsidR="0035085D" w:rsidRDefault="0035085D" w:rsidP="002011AC">
      <w:pPr>
        <w:pStyle w:val="Text"/>
      </w:pPr>
      <w:r>
        <w:t>For more than two decades, successive governments in Australia have attempted to increase the number of students from low socioeconomic backgrounds attending university through the Higher Education Participation Program, yet a large difference in participation rates between young people from advantaged and disadvantaged backgrounds remains.</w:t>
      </w:r>
    </w:p>
    <w:p w14:paraId="61C40821" w14:textId="77777777" w:rsidR="0035085D" w:rsidRDefault="0035085D" w:rsidP="0035085D">
      <w:pPr>
        <w:pStyle w:val="Heading2"/>
      </w:pPr>
      <w:bookmarkStart w:id="167" w:name="_Toc15048930"/>
      <w:bookmarkStart w:id="168" w:name="_Toc19803943"/>
      <w:r>
        <w:t>Why are school factors important?</w:t>
      </w:r>
      <w:bookmarkEnd w:id="167"/>
      <w:bookmarkEnd w:id="168"/>
    </w:p>
    <w:p w14:paraId="3878D0AD" w14:textId="119049CC" w:rsidR="0035085D" w:rsidRDefault="0035085D" w:rsidP="002011AC">
      <w:pPr>
        <w:pStyle w:val="Text"/>
      </w:pPr>
      <w:r>
        <w:t xml:space="preserve">Policymakers have the greatest potential to influence university participation through institutional means such as the school and its environment, whereas other key influencers, such as parental guidance and peer support, are outside </w:t>
      </w:r>
      <w:r w:rsidR="00E45880">
        <w:t xml:space="preserve">the </w:t>
      </w:r>
      <w:r>
        <w:t xml:space="preserve">direct </w:t>
      </w:r>
      <w:r w:rsidR="00E45880">
        <w:t xml:space="preserve">control of </w:t>
      </w:r>
      <w:r>
        <w:t>policymakers.</w:t>
      </w:r>
    </w:p>
    <w:p w14:paraId="0DEA4BE6" w14:textId="213CE4E1" w:rsidR="0035085D" w:rsidRDefault="0035085D" w:rsidP="002011AC">
      <w:pPr>
        <w:pStyle w:val="Text"/>
      </w:pPr>
      <w:r>
        <w:t>We pay attention to two factors within the school environment that can lead to greater university enrolment</w:t>
      </w:r>
      <w:r w:rsidR="00322FF7">
        <w:t>:</w:t>
      </w:r>
      <w:r>
        <w:t xml:space="preserve"> career guidance and school experiences.</w:t>
      </w:r>
    </w:p>
    <w:p w14:paraId="706E823B" w14:textId="4FC583B8" w:rsidR="0035085D" w:rsidRDefault="0035085D" w:rsidP="002011AC">
      <w:pPr>
        <w:pStyle w:val="Text"/>
      </w:pPr>
      <w:r>
        <w:t xml:space="preserve">Career guidance refers to the support and advice students receive at school in planning their post-school educational and professional pathways. School experiences capture a broad set of processes defining students’ interactions with the education system, such as their emotional attachment to their schools and </w:t>
      </w:r>
      <w:r w:rsidR="00A55996">
        <w:t>their</w:t>
      </w:r>
      <w:r>
        <w:t xml:space="preserve"> perceptions of learning and </w:t>
      </w:r>
      <w:r w:rsidR="00A55996">
        <w:t xml:space="preserve">their </w:t>
      </w:r>
      <w:r>
        <w:t>relationships with teachers.</w:t>
      </w:r>
    </w:p>
    <w:p w14:paraId="5A86FCCE" w14:textId="4D791A8B" w:rsidR="0035085D" w:rsidRDefault="0035085D" w:rsidP="002011AC">
      <w:pPr>
        <w:pStyle w:val="Text"/>
      </w:pPr>
      <w:r>
        <w:t>We expected these factors to be particularly influential on students from low socioeconomic backgrounds</w:t>
      </w:r>
      <w:r w:rsidR="00A55996">
        <w:t>,</w:t>
      </w:r>
      <w:r>
        <w:t xml:space="preserve"> who face complex choices when deciding </w:t>
      </w:r>
      <w:r w:rsidR="00A55996">
        <w:t>on</w:t>
      </w:r>
      <w:r>
        <w:t xml:space="preserve"> post-school pathways. If that is the case, then policymakers could allocate resources to utili</w:t>
      </w:r>
      <w:r w:rsidR="00A411D5">
        <w:t>s</w:t>
      </w:r>
      <w:r>
        <w:t xml:space="preserve">e these factors </w:t>
      </w:r>
      <w:r w:rsidR="00CB2165">
        <w:t xml:space="preserve">to assist in </w:t>
      </w:r>
      <w:r w:rsidR="00495B4C">
        <w:t>reducing</w:t>
      </w:r>
      <w:r>
        <w:t xml:space="preserve"> the gap in university participation between students from advantaged and </w:t>
      </w:r>
      <w:r w:rsidR="0071340E">
        <w:t xml:space="preserve">those from </w:t>
      </w:r>
      <w:r>
        <w:t>disadvantaged backgrounds. We test these premises empirically.</w:t>
      </w:r>
    </w:p>
    <w:p w14:paraId="079D4FEB" w14:textId="77777777" w:rsidR="0035085D" w:rsidRDefault="0035085D" w:rsidP="0035085D">
      <w:pPr>
        <w:pStyle w:val="Heading2"/>
      </w:pPr>
      <w:bookmarkStart w:id="169" w:name="_Toc15048931"/>
      <w:bookmarkStart w:id="170" w:name="_Toc19803944"/>
      <w:r>
        <w:lastRenderedPageBreak/>
        <w:t>Our research</w:t>
      </w:r>
      <w:bookmarkEnd w:id="169"/>
      <w:bookmarkEnd w:id="170"/>
    </w:p>
    <w:p w14:paraId="390F9F1F" w14:textId="262CD8C7" w:rsidR="0035085D" w:rsidRDefault="0035085D" w:rsidP="002011AC">
      <w:pPr>
        <w:pStyle w:val="Text"/>
      </w:pPr>
      <w:r>
        <w:t xml:space="preserve">Our research </w:t>
      </w:r>
      <w:r w:rsidR="00A3548B">
        <w:t>utilises</w:t>
      </w:r>
      <w:r>
        <w:t xml:space="preserve"> high-quality, nationally representative longitudinal data from the 2003 cohort of the Longitudinal Surveys of Australian Youth</w:t>
      </w:r>
      <w:r w:rsidR="0004054E">
        <w:t xml:space="preserve"> (LSAY)</w:t>
      </w:r>
      <w:r>
        <w:t>, a</w:t>
      </w:r>
      <w:r w:rsidR="00A3548B">
        <w:t>long with</w:t>
      </w:r>
      <w:r>
        <w:t xml:space="preserve"> state-of-the-art event-history regression models</w:t>
      </w:r>
      <w:r w:rsidR="00A3548B">
        <w:t>,</w:t>
      </w:r>
      <w:r>
        <w:t xml:space="preserve"> to investigate three questions:</w:t>
      </w:r>
    </w:p>
    <w:p w14:paraId="27583D4F" w14:textId="6ACEB86F" w:rsidR="0035085D" w:rsidRDefault="0035085D" w:rsidP="002011AC">
      <w:pPr>
        <w:pStyle w:val="Text"/>
        <w:numPr>
          <w:ilvl w:val="0"/>
          <w:numId w:val="32"/>
        </w:numPr>
      </w:pPr>
      <w:r>
        <w:t>How is socioeconomic background associated with students’ likelihood to enrol in university?</w:t>
      </w:r>
    </w:p>
    <w:p w14:paraId="7F34B964" w14:textId="031B2CCC" w:rsidR="0035085D" w:rsidRDefault="0035085D" w:rsidP="002011AC">
      <w:pPr>
        <w:pStyle w:val="Text"/>
        <w:numPr>
          <w:ilvl w:val="0"/>
          <w:numId w:val="32"/>
        </w:numPr>
      </w:pPr>
      <w:r>
        <w:t>How are school factors, such as career guidance and school experiences, associated with students’ likelihood to enrol in university?</w:t>
      </w:r>
    </w:p>
    <w:p w14:paraId="24B92C4A" w14:textId="0F91FFFD" w:rsidR="0035085D" w:rsidRDefault="0035085D" w:rsidP="002011AC">
      <w:pPr>
        <w:pStyle w:val="Text"/>
        <w:numPr>
          <w:ilvl w:val="0"/>
          <w:numId w:val="32"/>
        </w:numPr>
      </w:pPr>
      <w:r>
        <w:t>Are the impacts of school factors on university enrolment different for young people from higher and lower socioeconomic backgrounds?</w:t>
      </w:r>
    </w:p>
    <w:p w14:paraId="6EE4C934" w14:textId="6983ED61" w:rsidR="0035085D" w:rsidRDefault="0035085D" w:rsidP="007A2225">
      <w:pPr>
        <w:pStyle w:val="Heading2"/>
      </w:pPr>
      <w:bookmarkStart w:id="171" w:name="_Toc15048932"/>
      <w:bookmarkStart w:id="172" w:name="_Toc19803945"/>
      <w:r>
        <w:t>What we found: career advice and positive school experiences facilitate university enrolments</w:t>
      </w:r>
      <w:bookmarkEnd w:id="171"/>
      <w:bookmarkEnd w:id="172"/>
    </w:p>
    <w:p w14:paraId="5A07C42E" w14:textId="783FE205" w:rsidR="0035085D" w:rsidRDefault="0035085D" w:rsidP="007A2225">
      <w:pPr>
        <w:pStyle w:val="Text"/>
      </w:pPr>
      <w:r>
        <w:t>Using contemporary data, our research confirms that the gap in university enrolment between advantaged and disadvantaged</w:t>
      </w:r>
      <w:r w:rsidR="007A2225" w:rsidRPr="00E5118E">
        <w:rPr>
          <w:rStyle w:val="FootnoteReference"/>
          <w:vertAlign w:val="superscript"/>
        </w:rPr>
        <w:footnoteReference w:id="8"/>
      </w:r>
      <w:r>
        <w:t xml:space="preserve"> students remains (</w:t>
      </w:r>
      <w:r w:rsidR="0032608F">
        <w:t>f</w:t>
      </w:r>
      <w:r>
        <w:t xml:space="preserve">igure </w:t>
      </w:r>
      <w:r w:rsidR="00F40582">
        <w:t>9</w:t>
      </w:r>
      <w:r>
        <w:t>).</w:t>
      </w:r>
    </w:p>
    <w:p w14:paraId="61417D90" w14:textId="561D369A" w:rsidR="002011AC" w:rsidRDefault="002011AC" w:rsidP="007A2225">
      <w:pPr>
        <w:pStyle w:val="Figuretitle"/>
      </w:pPr>
      <w:bookmarkStart w:id="173" w:name="_Toc19001695"/>
      <w:r>
        <w:t xml:space="preserve">Figure </w:t>
      </w:r>
      <w:r w:rsidR="00F40582">
        <w:t>9</w:t>
      </w:r>
      <w:r w:rsidR="00456F89">
        <w:tab/>
      </w:r>
      <w:r>
        <w:t>University enrolment rates by socioeconomic background</w:t>
      </w:r>
      <w:bookmarkEnd w:id="173"/>
    </w:p>
    <w:p w14:paraId="76FDEEF3" w14:textId="5F1C5DCD" w:rsidR="0035085D" w:rsidRDefault="007A2225" w:rsidP="00842AE4">
      <w:r>
        <w:rPr>
          <w:noProof/>
          <w:lang w:eastAsia="en-AU"/>
        </w:rPr>
        <w:drawing>
          <wp:anchor distT="0" distB="0" distL="114300" distR="114300" simplePos="0" relativeHeight="252008448" behindDoc="0" locked="0" layoutInCell="1" allowOverlap="1" wp14:anchorId="1FA369BD" wp14:editId="0A905B5A">
            <wp:simplePos x="0" y="0"/>
            <wp:positionH relativeFrom="column">
              <wp:posOffset>-5080</wp:posOffset>
            </wp:positionH>
            <wp:positionV relativeFrom="paragraph">
              <wp:posOffset>53975</wp:posOffset>
            </wp:positionV>
            <wp:extent cx="4923790" cy="296227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13989" b="34218"/>
                    <a:stretch/>
                  </pic:blipFill>
                  <pic:spPr bwMode="auto">
                    <a:xfrm>
                      <a:off x="0" y="0"/>
                      <a:ext cx="4923790" cy="296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580211" w14:textId="6EB6DFE1" w:rsidR="002011AC" w:rsidRDefault="002011AC" w:rsidP="0035085D"/>
    <w:p w14:paraId="1CB6F112" w14:textId="793862ED" w:rsidR="002011AC" w:rsidRDefault="002011AC" w:rsidP="0035085D"/>
    <w:p w14:paraId="0103CEC4" w14:textId="7BE6BD7B" w:rsidR="007A2225" w:rsidRDefault="007A2225" w:rsidP="0035085D">
      <w:pPr>
        <w:rPr>
          <w:noProof/>
          <w:lang w:eastAsia="en-AU"/>
        </w:rPr>
      </w:pPr>
    </w:p>
    <w:p w14:paraId="65893090" w14:textId="0E45A66C" w:rsidR="002011AC" w:rsidRDefault="002011AC" w:rsidP="0035085D"/>
    <w:p w14:paraId="64FB053C" w14:textId="77777777" w:rsidR="002011AC" w:rsidRDefault="002011AC" w:rsidP="0035085D"/>
    <w:p w14:paraId="07CEBAFE" w14:textId="77777777" w:rsidR="002011AC" w:rsidRDefault="002011AC" w:rsidP="0035085D"/>
    <w:p w14:paraId="34C3F001" w14:textId="77777777" w:rsidR="002011AC" w:rsidRDefault="002011AC" w:rsidP="0035085D"/>
    <w:p w14:paraId="0217551A" w14:textId="77777777" w:rsidR="002011AC" w:rsidRDefault="002011AC" w:rsidP="0035085D"/>
    <w:p w14:paraId="304D1F3D" w14:textId="77777777" w:rsidR="002011AC" w:rsidRDefault="002011AC" w:rsidP="0035085D"/>
    <w:p w14:paraId="2F1AFD9E" w14:textId="77777777" w:rsidR="002011AC" w:rsidRDefault="002011AC" w:rsidP="0035085D"/>
    <w:p w14:paraId="0F44C700" w14:textId="77777777" w:rsidR="002011AC" w:rsidRDefault="002011AC" w:rsidP="0035085D"/>
    <w:p w14:paraId="06C4E31B" w14:textId="04A9E053" w:rsidR="0035085D" w:rsidRDefault="0035085D" w:rsidP="007A2225">
      <w:pPr>
        <w:pStyle w:val="Text"/>
      </w:pPr>
      <w:r>
        <w:t xml:space="preserve">More significantly, the research demonstrates the critical role schools play in influencing young people’s educational outcomes, acting as both </w:t>
      </w:r>
      <w:r>
        <w:rPr>
          <w:i/>
        </w:rPr>
        <w:t>enabling</w:t>
      </w:r>
      <w:r>
        <w:t xml:space="preserve"> and </w:t>
      </w:r>
      <w:r>
        <w:rPr>
          <w:i/>
        </w:rPr>
        <w:t>equalising</w:t>
      </w:r>
      <w:r>
        <w:t xml:space="preserve"> agents.</w:t>
      </w:r>
    </w:p>
    <w:p w14:paraId="4A493BFB" w14:textId="4C10D139" w:rsidR="0035085D" w:rsidRDefault="0035085D" w:rsidP="007A2225">
      <w:pPr>
        <w:pStyle w:val="Text"/>
      </w:pPr>
      <w:r>
        <w:t>Of the two sets of school factors investigated</w:t>
      </w:r>
      <w:r w:rsidRPr="00E0302A">
        <w:rPr>
          <w:b/>
          <w:i/>
        </w:rPr>
        <w:t xml:space="preserve">, </w:t>
      </w:r>
      <w:r w:rsidRPr="00E0302A">
        <w:rPr>
          <w:i/>
        </w:rPr>
        <w:t>both career guidance and school experiences were associated with an increasing probability to attend university</w:t>
      </w:r>
      <w:r>
        <w:rPr>
          <w:b/>
          <w:i/>
        </w:rPr>
        <w:t xml:space="preserve">. </w:t>
      </w:r>
      <w:r>
        <w:t xml:space="preserve">That is, students who held positive attitudes towards school, who reported having a positive relationship with their teachers, and who received career guidance were more likely to enrol at university </w:t>
      </w:r>
      <w:r>
        <w:lastRenderedPageBreak/>
        <w:t>across all socioeconomic backgrounds. These school factors are universally beneficial to all students.</w:t>
      </w:r>
    </w:p>
    <w:p w14:paraId="768ED65C" w14:textId="345A67E2" w:rsidR="0035085D" w:rsidRDefault="0035085D" w:rsidP="007A2225">
      <w:pPr>
        <w:pStyle w:val="Text"/>
      </w:pPr>
      <w:r>
        <w:t xml:space="preserve">Importantly, </w:t>
      </w:r>
      <w:r w:rsidRPr="00E5118E">
        <w:rPr>
          <w:i/>
        </w:rPr>
        <w:t xml:space="preserve">not all forms of career guidance were equal </w:t>
      </w:r>
      <w:r>
        <w:t xml:space="preserve">in terms of their influence on university enrolment. The strongest </w:t>
      </w:r>
      <w:r w:rsidRPr="00E5118E">
        <w:rPr>
          <w:i/>
        </w:rPr>
        <w:t>positive outcomes</w:t>
      </w:r>
      <w:r>
        <w:t xml:space="preserve"> were associated with </w:t>
      </w:r>
      <w:r w:rsidRPr="00E5118E">
        <w:rPr>
          <w:i/>
        </w:rPr>
        <w:t>talks by TAFE or university representatives, and school’s career advisors.</w:t>
      </w:r>
      <w:r>
        <w:t xml:space="preserve"> By contrast, employer representative talks and group discussions about careers negatively affected the chances of university enrolment. Figure</w:t>
      </w:r>
      <w:r w:rsidR="009748FA">
        <w:t xml:space="preserve"> </w:t>
      </w:r>
      <w:r w:rsidR="00B20BBA" w:rsidRPr="00E5118E">
        <w:rPr>
          <w:rStyle w:val="FootnoteReference"/>
          <w:rFonts w:ascii="Trebuchet MS" w:hAnsi="Trebuchet MS"/>
          <w:sz w:val="19"/>
        </w:rPr>
        <w:t>1</w:t>
      </w:r>
      <w:r w:rsidR="00B20BBA">
        <w:t>0</w:t>
      </w:r>
      <w:r>
        <w:t xml:space="preserve"> shows the impact of selected school factors on university enrolments</w:t>
      </w:r>
      <w:r w:rsidR="009748FA">
        <w:rPr>
          <w:rStyle w:val="FootnoteReference"/>
        </w:rPr>
        <w:footnoteReference w:id="9"/>
      </w:r>
      <w:r>
        <w:t>.</w:t>
      </w:r>
    </w:p>
    <w:p w14:paraId="15AD7B61" w14:textId="6DD0A051" w:rsidR="007A2225" w:rsidRDefault="007A2225" w:rsidP="007A2225">
      <w:pPr>
        <w:pStyle w:val="Figuretitle"/>
      </w:pPr>
      <w:bookmarkStart w:id="174" w:name="_Toc19001696"/>
      <w:r>
        <w:t xml:space="preserve">Figure </w:t>
      </w:r>
      <w:r w:rsidR="00F40582">
        <w:t>10</w:t>
      </w:r>
      <w:r w:rsidR="00456F89">
        <w:tab/>
      </w:r>
      <w:r>
        <w:t>University enrolment rates by school factors</w:t>
      </w:r>
      <w:bookmarkEnd w:id="174"/>
    </w:p>
    <w:p w14:paraId="12992157" w14:textId="6D90527D" w:rsidR="00ED5BC4" w:rsidRDefault="00D12EF8" w:rsidP="0035085D">
      <w:pPr>
        <w:rPr>
          <w:noProof/>
          <w:lang w:eastAsia="en-AU"/>
        </w:rPr>
      </w:pPr>
      <w:r>
        <w:rPr>
          <w:noProof/>
          <w:lang w:eastAsia="en-AU"/>
        </w:rPr>
        <w:drawing>
          <wp:anchor distT="0" distB="0" distL="114300" distR="114300" simplePos="0" relativeHeight="252009472" behindDoc="0" locked="0" layoutInCell="1" allowOverlap="1" wp14:anchorId="328A0FDB" wp14:editId="70D5FFFF">
            <wp:simplePos x="0" y="0"/>
            <wp:positionH relativeFrom="margin">
              <wp:posOffset>-2227</wp:posOffset>
            </wp:positionH>
            <wp:positionV relativeFrom="paragraph">
              <wp:posOffset>50800</wp:posOffset>
            </wp:positionV>
            <wp:extent cx="5029200" cy="1986712"/>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t="9497" b="19607"/>
                    <a:stretch/>
                  </pic:blipFill>
                  <pic:spPr bwMode="auto">
                    <a:xfrm>
                      <a:off x="0" y="0"/>
                      <a:ext cx="5029200" cy="19867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F288A0" w14:textId="300939EC" w:rsidR="007A2225" w:rsidRDefault="007A2225" w:rsidP="0035085D"/>
    <w:p w14:paraId="60C280E1" w14:textId="4A6475C1" w:rsidR="0035085D" w:rsidRDefault="0035085D" w:rsidP="0035085D">
      <w:pPr>
        <w:jc w:val="center"/>
      </w:pPr>
    </w:p>
    <w:p w14:paraId="40A4A34F" w14:textId="77777777" w:rsidR="007A2225" w:rsidRDefault="007A2225" w:rsidP="0035085D"/>
    <w:p w14:paraId="42B089B1" w14:textId="77777777" w:rsidR="007A2225" w:rsidRDefault="007A2225" w:rsidP="0035085D"/>
    <w:p w14:paraId="6DA34123" w14:textId="77777777" w:rsidR="007A2225" w:rsidRDefault="007A2225" w:rsidP="0035085D"/>
    <w:p w14:paraId="3F2D0F31" w14:textId="77777777" w:rsidR="007A2225" w:rsidRDefault="007A2225" w:rsidP="0035085D"/>
    <w:p w14:paraId="5F503458" w14:textId="77777777" w:rsidR="007A2225" w:rsidRDefault="007A2225" w:rsidP="0035085D"/>
    <w:p w14:paraId="20D72283" w14:textId="4E3088F9" w:rsidR="0035085D" w:rsidRDefault="0035085D" w:rsidP="00ED5BC4">
      <w:pPr>
        <w:pStyle w:val="Text"/>
      </w:pPr>
      <w:r>
        <w:t>Finally, the level of impact of school factors on university enrolment varied for students from different backgrounds. Talks by school career advisors and university or TAFE representatives, along with positive student</w:t>
      </w:r>
      <w:r w:rsidR="005E3114">
        <w:t>−</w:t>
      </w:r>
      <w:r>
        <w:t xml:space="preserve">teacher interactions, had </w:t>
      </w:r>
      <w:r w:rsidRPr="00E5118E">
        <w:rPr>
          <w:i/>
        </w:rPr>
        <w:t xml:space="preserve">a stronger influence on students from low socioeconomic backgrounds </w:t>
      </w:r>
      <w:r>
        <w:t xml:space="preserve">than </w:t>
      </w:r>
      <w:r w:rsidR="00200BE6">
        <w:t xml:space="preserve">on </w:t>
      </w:r>
      <w:r>
        <w:t>their more advantaged peers.</w:t>
      </w:r>
    </w:p>
    <w:p w14:paraId="7853CF35" w14:textId="23323645" w:rsidR="0035085D" w:rsidRDefault="0035085D" w:rsidP="00ED5BC4">
      <w:pPr>
        <w:pStyle w:val="Text"/>
      </w:pPr>
      <w:r>
        <w:t>These findings show school can be central to developing interventions to widen university participation.</w:t>
      </w:r>
    </w:p>
    <w:p w14:paraId="4241195E" w14:textId="77777777" w:rsidR="0035085D" w:rsidRDefault="0035085D" w:rsidP="00ED5BC4">
      <w:pPr>
        <w:pStyle w:val="Heading2"/>
      </w:pPr>
      <w:bookmarkStart w:id="175" w:name="_Toc15048933"/>
      <w:bookmarkStart w:id="176" w:name="_Toc19803946"/>
      <w:r>
        <w:t>School-based interventions are efficient and effective at closing the university participation gap</w:t>
      </w:r>
      <w:bookmarkEnd w:id="175"/>
      <w:bookmarkEnd w:id="176"/>
    </w:p>
    <w:p w14:paraId="56770164" w14:textId="77777777" w:rsidR="0035085D" w:rsidRDefault="0035085D" w:rsidP="00ED5BC4">
      <w:pPr>
        <w:pStyle w:val="Text"/>
      </w:pPr>
      <w:r>
        <w:t xml:space="preserve">School-based interventions can positively influence students’ university enrolment and save government expenditure in the long run. Given the known benefits of tertiary education participation across life domains, having a greater pool of university-educated individuals will be beneficial for individuals and </w:t>
      </w:r>
      <w:proofErr w:type="gramStart"/>
      <w:r>
        <w:t>society as a whole</w:t>
      </w:r>
      <w:proofErr w:type="gramEnd"/>
      <w:r>
        <w:t>.</w:t>
      </w:r>
    </w:p>
    <w:p w14:paraId="2E7D35CB" w14:textId="2344E004" w:rsidR="0035085D" w:rsidRDefault="0035085D" w:rsidP="00ED5BC4">
      <w:pPr>
        <w:pStyle w:val="Text"/>
      </w:pPr>
      <w:r>
        <w:t xml:space="preserve">Policy initiatives aimed at providing career guidance and positive school experiences have the potential to not only increase but also widen university participation amongst young Australians. This is because they can compensate for deficits in important resources, such as </w:t>
      </w:r>
      <w:r w:rsidR="004744F8">
        <w:t xml:space="preserve">higher education </w:t>
      </w:r>
      <w:r>
        <w:t>aspirations or information, to which young people from low socioeconomic backgrounds often have little access.</w:t>
      </w:r>
    </w:p>
    <w:p w14:paraId="148565C5" w14:textId="44844EC8" w:rsidR="0035085D" w:rsidRDefault="0035085D" w:rsidP="00ED5BC4">
      <w:pPr>
        <w:pStyle w:val="Text"/>
      </w:pPr>
      <w:r>
        <w:lastRenderedPageBreak/>
        <w:t xml:space="preserve">Interventions to widen participation in </w:t>
      </w:r>
      <w:r w:rsidR="004B7AC5">
        <w:t xml:space="preserve">higher education </w:t>
      </w:r>
      <w:r>
        <w:t xml:space="preserve">can be implemented at all phases of the student life course. This research highlights the importance of </w:t>
      </w:r>
      <w:r w:rsidR="00F03097">
        <w:t xml:space="preserve">the </w:t>
      </w:r>
      <w:r>
        <w:t xml:space="preserve">pre-admission interventions that take place during secondary school, prior to students deciding </w:t>
      </w:r>
      <w:proofErr w:type="gramStart"/>
      <w:r>
        <w:t>whether or not</w:t>
      </w:r>
      <w:proofErr w:type="gramEnd"/>
      <w:r>
        <w:t xml:space="preserve"> to attend university. This is a critical stage</w:t>
      </w:r>
      <w:r w:rsidR="005B2400">
        <w:t xml:space="preserve"> and</w:t>
      </w:r>
      <w:r>
        <w:t xml:space="preserve"> </w:t>
      </w:r>
      <w:r w:rsidR="00AB7AFD">
        <w:t xml:space="preserve">a period </w:t>
      </w:r>
      <w:r w:rsidR="00F03097">
        <w:t>during which</w:t>
      </w:r>
      <w:r>
        <w:t xml:space="preserve"> aspiration</w:t>
      </w:r>
      <w:r w:rsidR="005B2400">
        <w:t>-</w:t>
      </w:r>
      <w:r>
        <w:t>building, appropriate role modelling and targeted information can strongly influence young people’s plans to enrol in university. In contrast, policies that provide support to students once they have enrolled at university miss the opportunity to influence those students who chose not to or could not enrol.</w:t>
      </w:r>
    </w:p>
    <w:p w14:paraId="5C9DF2CF" w14:textId="7D2044C5" w:rsidR="0035085D" w:rsidRDefault="0035085D" w:rsidP="00ED5BC4">
      <w:pPr>
        <w:pStyle w:val="Text"/>
      </w:pPr>
      <w:r>
        <w:t>School-based interventions are also cost</w:t>
      </w:r>
      <w:r w:rsidR="00531ACA">
        <w:t>-</w:t>
      </w:r>
      <w:r>
        <w:t xml:space="preserve">effective for government in the long-term. They are preventative strategies </w:t>
      </w:r>
      <w:r w:rsidR="00531ACA">
        <w:t>and</w:t>
      </w:r>
      <w:r>
        <w:t xml:space="preserve"> have fewer costs and greater returns on investment than remedial strategies</w:t>
      </w:r>
      <w:r w:rsidR="00531ACA">
        <w:t>,</w:t>
      </w:r>
      <w:r>
        <w:t xml:space="preserve"> which compensate for social disadvantage due to poor education.</w:t>
      </w:r>
    </w:p>
    <w:p w14:paraId="3278CA8A" w14:textId="24116D7F" w:rsidR="0035085D" w:rsidRDefault="0035085D" w:rsidP="00ED5BC4">
      <w:pPr>
        <w:pStyle w:val="Text"/>
      </w:pPr>
      <w:r>
        <w:t>With lower costs and better potential outcomes, investments into school-based initiatives should be prioriti</w:t>
      </w:r>
      <w:r w:rsidR="00FA5766">
        <w:t>s</w:t>
      </w:r>
      <w:r>
        <w:t>ed.</w:t>
      </w:r>
    </w:p>
    <w:p w14:paraId="710D0D89" w14:textId="41C85976" w:rsidR="0035085D" w:rsidRDefault="0035085D" w:rsidP="00B02EAA">
      <w:pPr>
        <w:pStyle w:val="Heading2"/>
        <w:spacing w:after="240"/>
      </w:pPr>
      <w:bookmarkStart w:id="177" w:name="_Toc15048934"/>
      <w:bookmarkStart w:id="178" w:name="_Toc19803947"/>
      <w:r>
        <w:t>References</w:t>
      </w:r>
      <w:bookmarkEnd w:id="177"/>
      <w:bookmarkEnd w:id="178"/>
    </w:p>
    <w:p w14:paraId="3E1CCB6D" w14:textId="131A13BB" w:rsidR="00127813" w:rsidRPr="00D61C56" w:rsidRDefault="00127813" w:rsidP="00D12EF8">
      <w:pPr>
        <w:pStyle w:val="Text"/>
        <w:spacing w:before="80" w:line="240" w:lineRule="auto"/>
        <w:ind w:left="284" w:hanging="284"/>
        <w:rPr>
          <w:sz w:val="18"/>
          <w:szCs w:val="18"/>
        </w:rPr>
      </w:pPr>
      <w:r w:rsidRPr="00D61C56">
        <w:rPr>
          <w:sz w:val="18"/>
          <w:szCs w:val="18"/>
        </w:rPr>
        <w:t xml:space="preserve">Department of Employment, Education and Training 1990, </w:t>
      </w:r>
      <w:r w:rsidRPr="00D61C56">
        <w:rPr>
          <w:i/>
          <w:iCs/>
          <w:sz w:val="18"/>
          <w:szCs w:val="18"/>
        </w:rPr>
        <w:t>A fair chance for all</w:t>
      </w:r>
      <w:r w:rsidR="00C45402" w:rsidRPr="00D61C56">
        <w:rPr>
          <w:i/>
          <w:iCs/>
          <w:sz w:val="18"/>
          <w:szCs w:val="18"/>
        </w:rPr>
        <w:t>: higher education that’s within everyone’s reach,</w:t>
      </w:r>
      <w:r w:rsidR="00C45402" w:rsidRPr="00D61C56">
        <w:rPr>
          <w:sz w:val="18"/>
          <w:szCs w:val="18"/>
        </w:rPr>
        <w:t xml:space="preserve"> D</w:t>
      </w:r>
      <w:r w:rsidR="00D61C56">
        <w:rPr>
          <w:sz w:val="18"/>
          <w:szCs w:val="18"/>
        </w:rPr>
        <w:t>epartment of Education, Science and Training</w:t>
      </w:r>
      <w:r w:rsidR="00C45402" w:rsidRPr="00D61C56">
        <w:rPr>
          <w:sz w:val="18"/>
          <w:szCs w:val="18"/>
        </w:rPr>
        <w:t>, Canberra.</w:t>
      </w:r>
    </w:p>
    <w:p w14:paraId="1CCD3CDA" w14:textId="03690B01" w:rsidR="0035085D" w:rsidRDefault="0035085D" w:rsidP="00B02EAA">
      <w:pPr>
        <w:pStyle w:val="References"/>
      </w:pPr>
      <w:r>
        <w:t xml:space="preserve">Tomaszewski, W, Perales, F &amp; Xiang, N 2017, ‘Career guidance, school experiences and the university participation of young people from low socio-economic backgrounds’, </w:t>
      </w:r>
      <w:r>
        <w:rPr>
          <w:i/>
        </w:rPr>
        <w:t>International Journal of Educational Research</w:t>
      </w:r>
      <w:r>
        <w:t>, vol.85, pp.11</w:t>
      </w:r>
      <w:r w:rsidR="00FA5766">
        <w:t>−</w:t>
      </w:r>
      <w:r>
        <w:t>23.</w:t>
      </w:r>
    </w:p>
    <w:p w14:paraId="0A0291E3" w14:textId="77777777" w:rsidR="0035085D" w:rsidRDefault="0035085D" w:rsidP="0035085D">
      <w:pPr>
        <w:rPr>
          <w:i/>
        </w:rPr>
      </w:pPr>
      <w:r>
        <w:rPr>
          <w:i/>
        </w:rPr>
        <w:br w:type="page"/>
      </w:r>
    </w:p>
    <w:p w14:paraId="1AD4F85E" w14:textId="4C32EBFF" w:rsidR="005A108E" w:rsidRDefault="005A108E" w:rsidP="00E612BF">
      <w:pPr>
        <w:pStyle w:val="Heading1"/>
      </w:pPr>
      <w:bookmarkStart w:id="179" w:name="_Toc19803948"/>
      <w:r>
        <w:lastRenderedPageBreak/>
        <w:t>The underrepresentation of women in maths-intensive fields of study: the role of teenage occupational expectations, self-assessed maths competence and subject choice in Year 12</w:t>
      </w:r>
      <w:bookmarkEnd w:id="179"/>
    </w:p>
    <w:p w14:paraId="462C18F2" w14:textId="6A42DF1E" w:rsidR="005A108E" w:rsidRPr="00245694" w:rsidRDefault="005A108E" w:rsidP="00245694">
      <w:pPr>
        <w:pStyle w:val="Text"/>
        <w:spacing w:line="240" w:lineRule="auto"/>
        <w:rPr>
          <w:i/>
        </w:rPr>
      </w:pPr>
      <w:r w:rsidRPr="00E5118E">
        <w:rPr>
          <w:i/>
          <w:sz w:val="22"/>
          <w:szCs w:val="22"/>
        </w:rPr>
        <w:t>Helen Law</w:t>
      </w:r>
      <w:r w:rsidR="00D12EF8">
        <w:rPr>
          <w:i/>
          <w:sz w:val="22"/>
          <w:szCs w:val="22"/>
        </w:rPr>
        <w:t>,</w:t>
      </w:r>
      <w:r w:rsidRPr="00245694">
        <w:rPr>
          <w:i/>
        </w:rPr>
        <w:t xml:space="preserve"> University of T</w:t>
      </w:r>
      <w:r w:rsidRPr="00245694">
        <w:rPr>
          <w:rFonts w:cstheme="majorHAnsi"/>
          <w:i/>
        </w:rPr>
        <w:t>ü</w:t>
      </w:r>
      <w:r w:rsidRPr="00245694">
        <w:rPr>
          <w:i/>
        </w:rPr>
        <w:t>bingen</w:t>
      </w:r>
    </w:p>
    <w:p w14:paraId="24C5DF0C" w14:textId="0274A27C" w:rsidR="005A108E" w:rsidRPr="00245694" w:rsidRDefault="005A108E" w:rsidP="00245694">
      <w:pPr>
        <w:pStyle w:val="Text"/>
        <w:rPr>
          <w:i/>
        </w:rPr>
      </w:pPr>
      <w:r w:rsidRPr="00245694">
        <w:rPr>
          <w:i/>
        </w:rPr>
        <w:t xml:space="preserve">This chapter is a summary of </w:t>
      </w:r>
      <w:r w:rsidR="00116F69">
        <w:rPr>
          <w:i/>
        </w:rPr>
        <w:t>a</w:t>
      </w:r>
      <w:r w:rsidR="00EF10F3">
        <w:rPr>
          <w:i/>
        </w:rPr>
        <w:t xml:space="preserve"> 2018</w:t>
      </w:r>
      <w:r w:rsidR="00116F69">
        <w:rPr>
          <w:i/>
        </w:rPr>
        <w:t xml:space="preserve"> paper by </w:t>
      </w:r>
      <w:r w:rsidRPr="00245694">
        <w:rPr>
          <w:i/>
        </w:rPr>
        <w:t xml:space="preserve">Law </w:t>
      </w:r>
      <w:r w:rsidR="000B3E5B" w:rsidRPr="000B3E5B">
        <w:rPr>
          <w:i/>
        </w:rPr>
        <w:t>entitled ‘Gender and mathematics: pathways to mathematically intensive fields of study in Australia’</w:t>
      </w:r>
      <w:r w:rsidR="00D12EF8">
        <w:rPr>
          <w:i/>
        </w:rPr>
        <w:t xml:space="preserve">, </w:t>
      </w:r>
      <w:r w:rsidR="00D12EF8">
        <w:t>Advances in Life Course Research</w:t>
      </w:r>
      <w:r w:rsidR="00D12EF8">
        <w:rPr>
          <w:i/>
        </w:rPr>
        <w:t>, vol.37, pp.42-56</w:t>
      </w:r>
      <w:r w:rsidR="000B3E5B">
        <w:rPr>
          <w:i/>
        </w:rPr>
        <w:t xml:space="preserve">. </w:t>
      </w:r>
      <w:r w:rsidR="009232E6">
        <w:rPr>
          <w:i/>
        </w:rPr>
        <w:t>Here</w:t>
      </w:r>
      <w:r w:rsidRPr="00245694">
        <w:rPr>
          <w:i/>
        </w:rPr>
        <w:t xml:space="preserve"> a simplified version of the analyses published in that article</w:t>
      </w:r>
      <w:r w:rsidR="009232E6">
        <w:rPr>
          <w:i/>
        </w:rPr>
        <w:t xml:space="preserve"> are presented</w:t>
      </w:r>
      <w:r w:rsidR="001F2B7A">
        <w:rPr>
          <w:i/>
        </w:rPr>
        <w:t>.</w:t>
      </w:r>
      <w:r w:rsidR="005721B9" w:rsidRPr="001F2B7A">
        <w:rPr>
          <w:rStyle w:val="FootnoteReference"/>
          <w:rFonts w:ascii="Trebuchet MS" w:hAnsi="Trebuchet MS"/>
          <w:i/>
          <w:vertAlign w:val="superscript"/>
        </w:rPr>
        <w:footnoteReference w:id="10"/>
      </w:r>
      <w:r w:rsidRPr="00245694">
        <w:rPr>
          <w:i/>
        </w:rPr>
        <w:t xml:space="preserve"> </w:t>
      </w:r>
    </w:p>
    <w:p w14:paraId="560A8EBF" w14:textId="77777777" w:rsidR="005A108E" w:rsidRDefault="005A108E" w:rsidP="005A108E">
      <w:pPr>
        <w:pStyle w:val="Heading2"/>
      </w:pPr>
      <w:bookmarkStart w:id="180" w:name="_Toc15048936"/>
      <w:bookmarkStart w:id="181" w:name="_Toc19803949"/>
      <w:r>
        <w:t>Research problem</w:t>
      </w:r>
      <w:bookmarkEnd w:id="180"/>
      <w:bookmarkEnd w:id="181"/>
    </w:p>
    <w:p w14:paraId="6E1328D9" w14:textId="3AC21E09" w:rsidR="005A108E" w:rsidRDefault="005A108E" w:rsidP="00245694">
      <w:pPr>
        <w:pStyle w:val="Text"/>
      </w:pPr>
      <w:r>
        <w:t>While women in Australia and overseas have been increasing their participation in tertiary education, they continue to be underrepresented in maths-intensive fields</w:t>
      </w:r>
      <w:r w:rsidR="00B57096">
        <w:t>,</w:t>
      </w:r>
      <w:r>
        <w:t xml:space="preserve"> includ</w:t>
      </w:r>
      <w:r w:rsidR="00B57096">
        <w:t>ing</w:t>
      </w:r>
      <w:r>
        <w:t xml:space="preserve"> engineering, information technology and the physical sciences (Charles &amp; Bradley 2009). Such a phenomenon may not only hinder women from taking up employment opportunities in the thriving industries that require strong quantitative skills (Graduate Careers Australia 2014), but it may also contribute to the pay gap between men and women (Gerber &amp; Cheung 2008). Across the world in the fields where women are often overrepresented, such as education and humanities, young workers carry a wage penalty. </w:t>
      </w:r>
      <w:r w:rsidR="00395541">
        <w:t>This</w:t>
      </w:r>
      <w:r>
        <w:t xml:space="preserve"> phenomenon may also reinforce the beliefs in innate gender differences across society, including the view that males are more suitable for maths-intensive studies and careers. When young women, particularly those who are talented in maths, avoid maths-intensive studies because they perceive that those disciplines are not appropriate for their gender, their talents are underutilised</w:t>
      </w:r>
      <w:r w:rsidR="0041525B">
        <w:t>,</w:t>
      </w:r>
      <w:r>
        <w:t xml:space="preserve"> and their individual potentials are wasted.</w:t>
      </w:r>
    </w:p>
    <w:p w14:paraId="70130983" w14:textId="198EFBBE" w:rsidR="005A108E" w:rsidRDefault="005A108E" w:rsidP="00245694">
      <w:pPr>
        <w:pStyle w:val="Text"/>
      </w:pPr>
      <w:r>
        <w:t>Recent studies overseas have shown that the male advantage in maths and spatial ability does not explain why men dominate maths-intensive fields (</w:t>
      </w:r>
      <w:proofErr w:type="spellStart"/>
      <w:r>
        <w:t>Ceci</w:t>
      </w:r>
      <w:proofErr w:type="spellEnd"/>
      <w:r>
        <w:t xml:space="preserve"> &amp; Williams 2010a</w:t>
      </w:r>
      <w:r w:rsidR="007C7EC1">
        <w:t>,</w:t>
      </w:r>
      <w:r>
        <w:t xml:space="preserve"> 2010b). They suggest that factors </w:t>
      </w:r>
      <w:r w:rsidR="007C7EC1">
        <w:t xml:space="preserve">other </w:t>
      </w:r>
      <w:r>
        <w:t>than school maths achievement contribute to the underrepresentation of women in maths-intensive fields. Prior research, however, has rarely examined how occupational expectations, self-assessed maths competence and subject choice in secondary school influence the decisions of young Australian men and women to engage in maths-intensive studies.</w:t>
      </w:r>
    </w:p>
    <w:p w14:paraId="2560CA06" w14:textId="6567EB9F" w:rsidR="005A108E" w:rsidRDefault="005A108E" w:rsidP="00245694">
      <w:pPr>
        <w:pStyle w:val="Text"/>
      </w:pPr>
      <w:r>
        <w:lastRenderedPageBreak/>
        <w:t>Gender differences may emerge in occupational expectations and self-assessed maths competence during adolescence (</w:t>
      </w:r>
      <w:proofErr w:type="spellStart"/>
      <w:r>
        <w:t>Correll</w:t>
      </w:r>
      <w:proofErr w:type="spellEnd"/>
      <w:r>
        <w:t xml:space="preserve"> 2001; Tai</w:t>
      </w:r>
      <w:r w:rsidR="00926259">
        <w:t xml:space="preserve"> et al.</w:t>
      </w:r>
      <w:r>
        <w:t xml:space="preserve"> 2006). As suggested by the social stratification theory of gender essentialism, the gender essentialist ideology</w:t>
      </w:r>
      <w:r w:rsidR="00B86472">
        <w:t>,</w:t>
      </w:r>
      <w:r>
        <w:t xml:space="preserve"> which puts an emphasis on innate differences between males and females</w:t>
      </w:r>
      <w:r w:rsidR="00B86472">
        <w:t>,</w:t>
      </w:r>
      <w:r>
        <w:t xml:space="preserve"> is ubiquitous, particularly in advanced industrial societies, such as Australia (Charles &amp; Bradley 2009). Children internali</w:t>
      </w:r>
      <w:r w:rsidR="007103A5">
        <w:t>s</w:t>
      </w:r>
      <w:r>
        <w:t>e gender stereotypical beliefs through sociali</w:t>
      </w:r>
      <w:r w:rsidR="007103A5">
        <w:t>s</w:t>
      </w:r>
      <w:r>
        <w:t>ation and co</w:t>
      </w:r>
      <w:r w:rsidR="007103A5">
        <w:t>n</w:t>
      </w:r>
      <w:r>
        <w:t>vert them into gender-typical aspirations and preferences that affect their subject choice in secondary and tertiary education (</w:t>
      </w:r>
      <w:proofErr w:type="spellStart"/>
      <w:r>
        <w:t>Blau</w:t>
      </w:r>
      <w:proofErr w:type="spellEnd"/>
      <w:r>
        <w:t xml:space="preserve">, Brinton &amp; </w:t>
      </w:r>
      <w:proofErr w:type="spellStart"/>
      <w:r>
        <w:t>Grusky</w:t>
      </w:r>
      <w:proofErr w:type="spellEnd"/>
      <w:r>
        <w:t xml:space="preserve"> 2006; Charles &amp; Bradley 2009). Using the theory of gender essentialism, I assess how occupational expectations, self-assessed maths competence</w:t>
      </w:r>
      <w:r w:rsidR="00B86472">
        <w:t>,</w:t>
      </w:r>
      <w:r>
        <w:t xml:space="preserve"> and subject choice in secondary school may facilitate gendered choices of maths-intensive university studies in Australia (see </w:t>
      </w:r>
      <w:r w:rsidR="004C14BB">
        <w:t>f</w:t>
      </w:r>
      <w:r>
        <w:t xml:space="preserve">igure </w:t>
      </w:r>
      <w:r w:rsidR="009748FA">
        <w:t>1</w:t>
      </w:r>
      <w:r>
        <w:t>1).</w:t>
      </w:r>
    </w:p>
    <w:p w14:paraId="0D32FD28" w14:textId="12C9E6FC" w:rsidR="005A108E" w:rsidRPr="00067E0C" w:rsidRDefault="005A108E" w:rsidP="00245694">
      <w:pPr>
        <w:pStyle w:val="Figuretitle"/>
      </w:pPr>
      <w:bookmarkStart w:id="182" w:name="_Toc19001697"/>
      <w:r w:rsidRPr="00067E0C">
        <w:rPr>
          <w:noProof/>
        </w:rPr>
        <mc:AlternateContent>
          <mc:Choice Requires="wpg">
            <w:drawing>
              <wp:anchor distT="0" distB="0" distL="114300" distR="114300" simplePos="0" relativeHeight="252006400" behindDoc="0" locked="0" layoutInCell="1" allowOverlap="1" wp14:anchorId="3BBFFD7F" wp14:editId="750957BB">
                <wp:simplePos x="0" y="0"/>
                <wp:positionH relativeFrom="margin">
                  <wp:align>left</wp:align>
                </wp:positionH>
                <wp:positionV relativeFrom="paragraph">
                  <wp:posOffset>542290</wp:posOffset>
                </wp:positionV>
                <wp:extent cx="5208270" cy="1989455"/>
                <wp:effectExtent l="0" t="0" r="11430" b="10795"/>
                <wp:wrapTopAndBottom/>
                <wp:docPr id="8" name="Group 8"/>
                <wp:cNvGraphicFramePr/>
                <a:graphic xmlns:a="http://schemas.openxmlformats.org/drawingml/2006/main">
                  <a:graphicData uri="http://schemas.microsoft.com/office/word/2010/wordprocessingGroup">
                    <wpg:wgp>
                      <wpg:cNvGrpSpPr/>
                      <wpg:grpSpPr>
                        <a:xfrm>
                          <a:off x="0" y="0"/>
                          <a:ext cx="5208270" cy="1989735"/>
                          <a:chOff x="0" y="0"/>
                          <a:chExt cx="5388610" cy="2063750"/>
                        </a:xfrm>
                      </wpg:grpSpPr>
                      <wps:wsp>
                        <wps:cNvPr id="10" name="Text Box 10"/>
                        <wps:cNvSpPr txBox="1"/>
                        <wps:spPr>
                          <a:xfrm>
                            <a:off x="1454794" y="0"/>
                            <a:ext cx="1028700" cy="91440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5C6DA9" w14:textId="77777777" w:rsidR="00CE088E" w:rsidRPr="001E73CD" w:rsidRDefault="00CE088E" w:rsidP="005A108E">
                              <w:pPr>
                                <w:jc w:val="center"/>
                                <w:rPr>
                                  <w:b/>
                                  <w:sz w:val="20"/>
                                </w:rPr>
                              </w:pPr>
                              <w:r w:rsidRPr="001E73CD">
                                <w:rPr>
                                  <w:b/>
                                  <w:sz w:val="20"/>
                                </w:rPr>
                                <w:t xml:space="preserve">Occupational expectations </w:t>
                              </w:r>
                              <w:r w:rsidRPr="001E73CD">
                                <w:rPr>
                                  <w:b/>
                                  <w:sz w:val="20"/>
                                </w:rPr>
                                <w:br/>
                                <w:t xml:space="preserve">at age 15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1454794" y="1132840"/>
                            <a:ext cx="1028700" cy="93091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7EBF8A" w14:textId="77777777" w:rsidR="00CE088E" w:rsidRPr="001E73CD" w:rsidRDefault="00CE088E" w:rsidP="005A108E">
                              <w:pPr>
                                <w:jc w:val="center"/>
                                <w:rPr>
                                  <w:b/>
                                  <w:sz w:val="20"/>
                                </w:rPr>
                              </w:pPr>
                              <w:r w:rsidRPr="001E73CD">
                                <w:rPr>
                                  <w:b/>
                                  <w:sz w:val="20"/>
                                </w:rPr>
                                <w:t xml:space="preserve">Self-assessed maths competence at age 15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3049281" y="274319"/>
                            <a:ext cx="1004465" cy="1701129"/>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41F788" w14:textId="77777777" w:rsidR="00CE088E" w:rsidRPr="000C4A4B" w:rsidRDefault="00CE088E" w:rsidP="005A108E">
                              <w:pPr>
                                <w:jc w:val="center"/>
                                <w:rPr>
                                  <w:b/>
                                  <w:sz w:val="18"/>
                                </w:rPr>
                              </w:pPr>
                              <w:r w:rsidRPr="000C4A4B">
                                <w:rPr>
                                  <w:b/>
                                  <w:sz w:val="18"/>
                                </w:rPr>
                                <w:t xml:space="preserve">Choice of advanced maths and physical science subjects in Year 12 </w:t>
                              </w:r>
                              <w:r w:rsidRPr="000C4A4B">
                                <w:rPr>
                                  <w:b/>
                                  <w:sz w:val="18"/>
                                </w:rPr>
                                <w:br/>
                              </w:r>
                              <w:r w:rsidRPr="000C4A4B">
                                <w:rPr>
                                  <w:b/>
                                  <w:sz w:val="16"/>
                                </w:rPr>
                                <w:t xml:space="preserve">(at about age 18)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4526280" y="274320"/>
                            <a:ext cx="862330" cy="1447165"/>
                          </a:xfrm>
                          <a:prstGeom prst="rect">
                            <a:avLst/>
                          </a:prstGeom>
                          <a:solidFill>
                            <a:schemeClr val="bg1">
                              <a:lumMod val="85000"/>
                            </a:schemeClr>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E65C0D" w14:textId="77777777" w:rsidR="00CE088E" w:rsidRPr="00067E0C" w:rsidRDefault="00CE088E" w:rsidP="005A108E">
                              <w:pPr>
                                <w:jc w:val="center"/>
                                <w:rPr>
                                  <w:b/>
                                  <w:sz w:val="20"/>
                                </w:rPr>
                              </w:pPr>
                              <w:r w:rsidRPr="00067E0C">
                                <w:rPr>
                                  <w:b/>
                                  <w:sz w:val="20"/>
                                </w:rPr>
                                <w:t xml:space="preserve">Choice of a maths- intensive bachelor’s degree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ight Arrow 102"/>
                        <wps:cNvSpPr/>
                        <wps:spPr>
                          <a:xfrm>
                            <a:off x="1007754" y="802640"/>
                            <a:ext cx="358775" cy="502920"/>
                          </a:xfrm>
                          <a:prstGeom prst="rightArrow">
                            <a:avLst/>
                          </a:prstGeom>
                          <a:noFill/>
                          <a:ln w="254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ight Arrow 108"/>
                        <wps:cNvSpPr/>
                        <wps:spPr>
                          <a:xfrm>
                            <a:off x="2602242" y="807720"/>
                            <a:ext cx="359410" cy="503555"/>
                          </a:xfrm>
                          <a:prstGeom prst="rightArrow">
                            <a:avLst/>
                          </a:prstGeom>
                          <a:solidFill>
                            <a:schemeClr val="tx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ight Arrow 1"/>
                        <wps:cNvSpPr/>
                        <wps:spPr>
                          <a:xfrm>
                            <a:off x="4113355" y="802005"/>
                            <a:ext cx="359410" cy="503555"/>
                          </a:xfrm>
                          <a:prstGeom prst="rightArrow">
                            <a:avLst/>
                          </a:prstGeom>
                          <a:solidFill>
                            <a:schemeClr val="tx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0" y="284480"/>
                            <a:ext cx="911225" cy="1438910"/>
                          </a:xfrm>
                          <a:prstGeom prst="rect">
                            <a:avLst/>
                          </a:prstGeom>
                          <a:noFill/>
                          <a:ln w="19050">
                            <a:solidFill>
                              <a:sysClr val="windowText" lastClr="000000"/>
                            </a:solidFill>
                            <a:prstDash val="dash"/>
                          </a:ln>
                          <a:effectLst/>
                        </wps:spPr>
                        <wps:txbx>
                          <w:txbxContent>
                            <w:p w14:paraId="1A252590" w14:textId="77777777" w:rsidR="00CE088E" w:rsidRPr="001E73CD" w:rsidRDefault="00CE088E" w:rsidP="005A108E">
                              <w:pPr>
                                <w:spacing w:before="120" w:after="120"/>
                                <w:jc w:val="center"/>
                                <w:rPr>
                                  <w:sz w:val="18"/>
                                </w:rPr>
                              </w:pPr>
                              <w:r w:rsidRPr="001E73CD">
                                <w:rPr>
                                  <w:b/>
                                  <w:sz w:val="18"/>
                                </w:rPr>
                                <w:t xml:space="preserve">Gender essentialist ideology in advanced industrial countries, such as Australia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BFFD7F" id="Group 8" o:spid="_x0000_s1027" style="position:absolute;left:0;text-align:left;margin-left:0;margin-top:42.7pt;width:410.1pt;height:156.65pt;z-index:252006400;mso-position-horizontal:left;mso-position-horizontal-relative:margin;mso-width-relative:margin;mso-height-relative:margin" coordsize="53886,2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UcWgUAALgjAAAOAAAAZHJzL2Uyb0RvYy54bWzsmt1zozYQwN870/+B4b0xCLDBE+cmTZpM&#10;Z9K7zCWde5ZB2MwBopIc2/fXd/UZmzjpJTeXB5c8OIBWXyvtj90Vpx82Te09EMYr2s788CTwPdLm&#10;tKjaxcz/+/7qt9T3uMBtgWvakpm/Jdz/cPbrL6frbkoQXdK6IMyDRlo+XXczfylENx2NeL4kDeYn&#10;tCMtFJaUNVjALVuMCobX0HpTj1AQjEdryoqO0ZxwDk8vdaF/ptovS5KLT2XJifDqmQ9jE+qXqd+5&#10;/B2dneLpguFuWeVmGPgNo2hw1UKnrqlLLLC3YtWTppoqZ5TTUpzktBnRsqxyouYAswmD3myuGV11&#10;ai6L6XrROTWBant6enOz+ceHW+ZVxcyHhWpxA0ukevVSqZp1t5iCxDXr7rpbZh4s9J2c7aZkjfwP&#10;8/A2Sqlbp1SyEV4ODxMUpGgCus+hLMzSbBIlWu35EtbmSb18+YetGaXpODQ1UTCOJolasJHteCTH&#10;54az7mAL8Uct8R/T0t0Sd0Qpn0sdGC3J4Wg13csJ/k43HjxSmlFiUk+e2MBzmKx9zuHhAXWFcRJP&#10;stj3niotDFA6CczUszCO4Ro6cTPH045xcU1o48mLmc9gp6sNiB9uuNCiVkR2zWldFVdVXasbaV3k&#10;ombeAwa7qIUaKTS+J1W33nrmo0T2/aQJ2bZrYF7j/KsZ304T0GDdyppEGaIZl1wmrRB1JbY1kTJ1&#10;+5mUsBHVNjowSJznpHUDVdJSqoQpvaaikX8c1Wsq63lADdUzbYWr3FQtZVpL+7otvlrdlloeFnFn&#10;3vJSbOYbZYFuv8xpsYVtxKjGFe/yqwr0fYO5uMUM+AQbA5grPsFPWVNYJWqufG9J2bdDz6U8GASU&#10;+t4aeDfz+T8rzIjv1X+2YCpqkwEg1U2cTBD0wXZL5rsl7aq5oLB1QqB7l6tLKS9qe1ky2nwBNJ/L&#10;XqEItzn0PfNzwezNhdAcBrjn5PxciQEUOyxu2rsul41LPcuddr/5gllntroAw/tIrXniaW/Ha1lZ&#10;s6XnK0HLSpmD1LTWq1kBQIUE3HswA7TUZ4Zba0DLW5kRhhFKY/MOs7jdJ0cUZBpPAzkMn46SHMi+&#10;aQZyHBc5wDnokyO2a/1KckRBnKEUUATeBprEUZjJhuDlbLytMAjieJwYP20ShCFSEgM5jpkckd1N&#10;AzmOihxgu31yaHOWHs8ryREnaIxScOIMOcA13CNHOkZRBMUqwIvjSQgU+WnBynyh3cJ61fxFCx3A&#10;pEng4iOVOZCxjYqWdqIRGWIMAc1+GPWTAxr3qhrgclRwkcau3ZLP1WIpvHPG6BryIM4NNYABCEjc&#10;PJf+CILJJNHpjzRA434kEyUplGusJAHKNHZecEfkWNRQVNzYCwtlrkQHhTILovj1Ig8cRzRixMbG&#10;8XtIkcHpJeZLLaSKnLdgI32V/FF6OJDrQIeSBtZI5Xj5EhdENy8pZ9NAbngKc4eDGg1KJ6kbsW1r&#10;QL93OuQx1fRsOmRgxXGxwiU/9llh8svOGXmZFWgcIBQj5YKkgI2+CxIlWWwzxUkQJcl/eSDfxYo9&#10;U+/Z0TNA0AnPN1QcSCKzqZJ4hgw6F/xsYnUgicmp/m/SqBGY/wGvwwaw3+VzxJAzBToYjsABojmK&#10;skmQgSP+4JH0D2gGj+S4PJLIcsQd4UYuDfbK1IhJiqRxDPkRFVRYkmSQP0U2mxpH6Q+fw7S0F7iE&#10;WQDn4SpG2Dvc3XJ3MAsfShR0LacJx3xweggFcMym/kyYsuep7PsgBcQ1O8HMi8e47gxT8VQGO4PR&#10;vJfRqK8g4PMQFQmaT1nk9ye79yoWffzg5uxfAAAA//8DAFBLAwQUAAYACAAAACEA3jfQgt8AAAAH&#10;AQAADwAAAGRycy9kb3ducmV2LnhtbEyPQUvDQBSE74L/YXmCN7tJajWNeSmlqKci2ArS22v2NQnN&#10;7obsNkn/vetJj8MMM9/kq0m3YuDeNdYgxLMIBJvSqsZUCF/7t4cUhPNkFLXWMMKVHayK25ucMmVH&#10;88nDzlcilBiXEULtfZdJ6cqaNbmZ7dgE72R7TT7IvpKqpzGU61YmUfQkNTUmLNTU8abm8ry7aIT3&#10;kcb1PH4dtufT5nrYLz6+tzEj3t9N6xcQnif/F4Zf/IAORWA62otRTrQI4YhHSBePIIKbJlEC4ogw&#10;X6bPIItc/ucvfgAAAP//AwBQSwECLQAUAAYACAAAACEAtoM4kv4AAADhAQAAEwAAAAAAAAAAAAAA&#10;AAAAAAAAW0NvbnRlbnRfVHlwZXNdLnhtbFBLAQItABQABgAIAAAAIQA4/SH/1gAAAJQBAAALAAAA&#10;AAAAAAAAAAAAAC8BAABfcmVscy8ucmVsc1BLAQItABQABgAIAAAAIQBJCkUcWgUAALgjAAAOAAAA&#10;AAAAAAAAAAAAAC4CAABkcnMvZTJvRG9jLnhtbFBLAQItABQABgAIAAAAIQDeN9CC3wAAAAcBAAAP&#10;AAAAAAAAAAAAAAAAALQHAABkcnMvZG93bnJldi54bWxQSwUGAAAAAAQABADzAAAAwAgAAAAA&#10;">
                <v:shape id="Text Box 10" o:spid="_x0000_s1028" type="#_x0000_t202" style="position:absolute;left:14547;width:1028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yQxAAAANsAAAAPAAAAZHJzL2Rvd25yZXYueG1sRI9Ba8JA&#10;EIXvBf/DMoK3umlAsamriFDxUAxqf8CQnWZDs7Mhu9Xor+8cBG8zvDfvfbNcD75VF+pjE9jA2zQD&#10;RVwF23Bt4Pv8+boAFROyxTYwGbhRhPVq9LLEwoYrH+lySrWSEI4FGnApdYXWsXLkMU5DRyzaT+g9&#10;Jln7WtserxLuW51n2Vx7bFgaHHa0dVT9nv68gWYo79vDofzKN2V2dBXn72G2M2YyHjYfoBIN6Wl+&#10;XO+t4Au9/CID6NU/AAAA//8DAFBLAQItABQABgAIAAAAIQDb4fbL7gAAAIUBAAATAAAAAAAAAAAA&#10;AAAAAAAAAABbQ29udGVudF9UeXBlc10ueG1sUEsBAi0AFAAGAAgAAAAhAFr0LFu/AAAAFQEAAAsA&#10;AAAAAAAAAAAAAAAAHwEAAF9yZWxzLy5yZWxzUEsBAi0AFAAGAAgAAAAhAKZQfJDEAAAA2wAAAA8A&#10;AAAAAAAAAAAAAAAABwIAAGRycy9kb3ducmV2LnhtbFBLBQYAAAAAAwADALcAAAD4AgAAAAA=&#10;" fillcolor="white [3201]" strokeweight="2pt">
                  <v:textbox>
                    <w:txbxContent>
                      <w:p w14:paraId="5A5C6DA9" w14:textId="77777777" w:rsidR="00CE088E" w:rsidRPr="001E73CD" w:rsidRDefault="00CE088E" w:rsidP="005A108E">
                        <w:pPr>
                          <w:jc w:val="center"/>
                          <w:rPr>
                            <w:b/>
                            <w:sz w:val="20"/>
                          </w:rPr>
                        </w:pPr>
                        <w:r w:rsidRPr="001E73CD">
                          <w:rPr>
                            <w:b/>
                            <w:sz w:val="20"/>
                          </w:rPr>
                          <w:t xml:space="preserve">Occupational expectations </w:t>
                        </w:r>
                        <w:r w:rsidRPr="001E73CD">
                          <w:rPr>
                            <w:b/>
                            <w:sz w:val="20"/>
                          </w:rPr>
                          <w:br/>
                          <w:t xml:space="preserve">at age 15 </w:t>
                        </w:r>
                      </w:p>
                    </w:txbxContent>
                  </v:textbox>
                </v:shape>
                <v:shape id="Text Box 11" o:spid="_x0000_s1029" type="#_x0000_t202" style="position:absolute;left:14547;top:11328;width:10287;height:9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kLwAAAANsAAAAPAAAAZHJzL2Rvd25yZXYueG1sRE/NisIw&#10;EL4v+A5hhL2tqQVFq1FEcPGwWKw+wNCMTbGZlCar3X16Iwje5uP7neW6t424UedrxwrGowQEcel0&#10;zZWC82n3NQPhA7LGxjEp+CMP69XgY4mZdnc+0q0IlYgh7DNUYEJoMyl9aciiH7mWOHIX11kMEXaV&#10;1B3eY7htZJokU2mx5thgsKWtofJa/FoFdZ//bw+H/Cfd5MnRlJzO3eRbqc9hv1mACNSHt/jl3us4&#10;fwzPX+IBcvUAAAD//wMAUEsBAi0AFAAGAAgAAAAhANvh9svuAAAAhQEAABMAAAAAAAAAAAAAAAAA&#10;AAAAAFtDb250ZW50X1R5cGVzXS54bWxQSwECLQAUAAYACAAAACEAWvQsW78AAAAVAQAACwAAAAAA&#10;AAAAAAAAAAAfAQAAX3JlbHMvLnJlbHNQSwECLQAUAAYACAAAACEAyRzZC8AAAADbAAAADwAAAAAA&#10;AAAAAAAAAAAHAgAAZHJzL2Rvd25yZXYueG1sUEsFBgAAAAADAAMAtwAAAPQCAAAAAA==&#10;" fillcolor="white [3201]" strokeweight="2pt">
                  <v:textbox>
                    <w:txbxContent>
                      <w:p w14:paraId="247EBF8A" w14:textId="77777777" w:rsidR="00CE088E" w:rsidRPr="001E73CD" w:rsidRDefault="00CE088E" w:rsidP="005A108E">
                        <w:pPr>
                          <w:jc w:val="center"/>
                          <w:rPr>
                            <w:b/>
                            <w:sz w:val="20"/>
                          </w:rPr>
                        </w:pPr>
                        <w:r w:rsidRPr="001E73CD">
                          <w:rPr>
                            <w:b/>
                            <w:sz w:val="20"/>
                          </w:rPr>
                          <w:t xml:space="preserve">Self-assessed maths competence at age 15 </w:t>
                        </w:r>
                      </w:p>
                    </w:txbxContent>
                  </v:textbox>
                </v:shape>
                <v:shape id="_x0000_s1030" type="#_x0000_t202" style="position:absolute;left:30492;top:2743;width:10045;height:17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3qTwQAAANsAAAAPAAAAZHJzL2Rvd25yZXYueG1sRE/bisIw&#10;EH1f8B/CCL6tqUUXrUYRYRcfxOLlA4ZmbIrNpDRR6379RhD2bQ7nOotVZ2txp9ZXjhWMhgkI4sLp&#10;iksF59P35xSED8gaa8ek4EkeVsvexwIz7R58oPsxlCKGsM9QgQmhyaT0hSGLfuga4shdXGsxRNiW&#10;Urf4iOG2lmmSfEmLFccGgw1tDBXX480qqLr8d7Pf57t0nScHU3A6c5MfpQb9bj0HEagL/+K3e6vj&#10;/DG8fokHyOUfAAAA//8DAFBLAQItABQABgAIAAAAIQDb4fbL7gAAAIUBAAATAAAAAAAAAAAAAAAA&#10;AAAAAABbQ29udGVudF9UeXBlc10ueG1sUEsBAi0AFAAGAAgAAAAhAFr0LFu/AAAAFQEAAAsAAAAA&#10;AAAAAAAAAAAAHwEAAF9yZWxzLy5yZWxzUEsBAi0AFAAGAAgAAAAhANlrepPBAAAA2wAAAA8AAAAA&#10;AAAAAAAAAAAABwIAAGRycy9kb3ducmV2LnhtbFBLBQYAAAAAAwADALcAAAD1AgAAAAA=&#10;" fillcolor="white [3201]" strokeweight="2pt">
                  <v:textbox>
                    <w:txbxContent>
                      <w:p w14:paraId="2A41F788" w14:textId="77777777" w:rsidR="00CE088E" w:rsidRPr="000C4A4B" w:rsidRDefault="00CE088E" w:rsidP="005A108E">
                        <w:pPr>
                          <w:jc w:val="center"/>
                          <w:rPr>
                            <w:b/>
                            <w:sz w:val="18"/>
                          </w:rPr>
                        </w:pPr>
                        <w:r w:rsidRPr="000C4A4B">
                          <w:rPr>
                            <w:b/>
                            <w:sz w:val="18"/>
                          </w:rPr>
                          <w:t xml:space="preserve">Choice of advanced maths and physical science subjects in Year 12 </w:t>
                        </w:r>
                        <w:r w:rsidRPr="000C4A4B">
                          <w:rPr>
                            <w:b/>
                            <w:sz w:val="18"/>
                          </w:rPr>
                          <w:br/>
                        </w:r>
                        <w:r w:rsidRPr="000C4A4B">
                          <w:rPr>
                            <w:b/>
                            <w:sz w:val="16"/>
                          </w:rPr>
                          <w:t xml:space="preserve">(at about age 18) </w:t>
                        </w:r>
                      </w:p>
                    </w:txbxContent>
                  </v:textbox>
                </v:shape>
                <v:shape id="Text Box 29" o:spid="_x0000_s1031" type="#_x0000_t202" style="position:absolute;left:45262;top:2743;width:8624;height:14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t7wwAAANsAAAAPAAAAZHJzL2Rvd25yZXYueG1sRI9BawIx&#10;FITvBf9DeEJvNauCtlujlELBogja0vPr5nUT3Lxsk7iu/94IhR6HmfmGWax614iOQrSeFYxHBQji&#10;ymvLtYLPj7eHRxAxIWtsPJOCC0VYLQd3Cyy1P/OeukOqRYZwLFGBSaktpYyVIYdx5Fvi7P344DBl&#10;GWqpA54z3DVyUhQz6dByXjDY0quh6ng4OQX2qw2/7xsTTttuY76nsZrb3Vap+2H/8gwiUZ/+w3/t&#10;tVYweYLbl/wD5PIKAAD//wMAUEsBAi0AFAAGAAgAAAAhANvh9svuAAAAhQEAABMAAAAAAAAAAAAA&#10;AAAAAAAAAFtDb250ZW50X1R5cGVzXS54bWxQSwECLQAUAAYACAAAACEAWvQsW78AAAAVAQAACwAA&#10;AAAAAAAAAAAAAAAfAQAAX3JlbHMvLnJlbHNQSwECLQAUAAYACAAAACEAUJ27e8MAAADbAAAADwAA&#10;AAAAAAAAAAAAAAAHAgAAZHJzL2Rvd25yZXYueG1sUEsFBgAAAAADAAMAtwAAAPcCAAAAAA==&#10;" fillcolor="#d8d8d8 [2732]" strokeweight="2pt">
                  <v:textbox>
                    <w:txbxContent>
                      <w:p w14:paraId="09E65C0D" w14:textId="77777777" w:rsidR="00CE088E" w:rsidRPr="00067E0C" w:rsidRDefault="00CE088E" w:rsidP="005A108E">
                        <w:pPr>
                          <w:jc w:val="center"/>
                          <w:rPr>
                            <w:b/>
                            <w:sz w:val="20"/>
                          </w:rPr>
                        </w:pPr>
                        <w:r w:rsidRPr="00067E0C">
                          <w:rPr>
                            <w:b/>
                            <w:sz w:val="20"/>
                          </w:rPr>
                          <w:t xml:space="preserve">Choice of a maths- intensive bachelor’s degree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2" o:spid="_x0000_s1032" type="#_x0000_t13" style="position:absolute;left:10077;top:8026;width:3588;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muwAAAANsAAAAPAAAAZHJzL2Rvd25yZXYueG1sRE9Na4NA&#10;EL0X+h+WKfRS6po2SLGuIkLBW1ADvQ7uVKXurLibxObXZw+BHh/vOys2M4szrW6yrGAXxSCIe6sn&#10;HhQcu6/XDxDOI2ucLZOCP3JQ5I8PGabaXrihc+sHEULYpahg9H5JpXT9SAZdZBfiwP3Y1aAPcB2k&#10;XvESws0s3+I4kQYnDg0jLlSN1P+2J6OAX7r9obtW8nuf2Cqpm6HZdKnU89NWfoLwtPl/8d1dawXv&#10;YX34En6AzG8AAAD//wMAUEsBAi0AFAAGAAgAAAAhANvh9svuAAAAhQEAABMAAAAAAAAAAAAAAAAA&#10;AAAAAFtDb250ZW50X1R5cGVzXS54bWxQSwECLQAUAAYACAAAACEAWvQsW78AAAAVAQAACwAAAAAA&#10;AAAAAAAAAAAfAQAAX3JlbHMvLnJlbHNQSwECLQAUAAYACAAAACEALVaJrsAAAADbAAAADwAAAAAA&#10;AAAAAAAAAAAHAgAAZHJzL2Rvd25yZXYueG1sUEsFBgAAAAADAAMAtwAAAPQCAAAAAA==&#10;" adj="10800" filled="f" strokecolor="black [3213]" strokeweight="2pt"/>
                <v:shape id="Right Arrow 108" o:spid="_x0000_s1033" type="#_x0000_t13" style="position:absolute;left:26022;top:8077;width:3594;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UJxAAAANsAAAAPAAAAZHJzL2Rvd25yZXYueG1sRI9Ra8Iw&#10;FIXfB/6HcIW9zdQVxuiMIgNFGGOuOp8vzbWtS25Kkmr992Yw8PFwzvkOZ7YYrBFn8qF1rGA6yUAQ&#10;V063XCvY71ZPryBCRNZoHJOCKwVYzEcPMyy0u/A3nctYiwThUKCCJsaukDJUDVkME9cRJ+/ovMWY&#10;pK+l9nhJcGvkc5a9SIstp4UGO3pvqPote6ugNIfd+sdccev7/rRxH/ln+5Ur9Tgelm8gIg3xHv5v&#10;b7SCfAp/X9IPkPMbAAAA//8DAFBLAQItABQABgAIAAAAIQDb4fbL7gAAAIUBAAATAAAAAAAAAAAA&#10;AAAAAAAAAABbQ29udGVudF9UeXBlc10ueG1sUEsBAi0AFAAGAAgAAAAhAFr0LFu/AAAAFQEAAAsA&#10;AAAAAAAAAAAAAAAAHwEAAF9yZWxzLy5yZWxzUEsBAi0AFAAGAAgAAAAhAKWDFQnEAAAA2wAAAA8A&#10;AAAAAAAAAAAAAAAABwIAAGRycy9kb3ducmV2LnhtbFBLBQYAAAAAAwADALcAAAD4AgAAAAA=&#10;" adj="10800" fillcolor="black [3213]" strokecolor="black [3213]" strokeweight="2pt"/>
                <v:shape id="Right Arrow 1" o:spid="_x0000_s1034" type="#_x0000_t13" style="position:absolute;left:41133;top:8020;width:3594;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t+xAAAANsAAAAPAAAAZHJzL2Rvd25yZXYueG1sRI9Ra8Iw&#10;FIXfB/6HcIW9zVQLMjqjjIEiyNBVt+dLc9d2S25Kkmr992Yw8PFwzvkOZ7EarBFn8qF1rGA6yUAQ&#10;V063XCs4HddPzyBCRNZoHJOCKwVYLUcPCyy0u/AHnctYiwThUKCCJsaukDJUDVkME9cRJ+/beYsx&#10;SV9L7fGS4NbIWZbNpcWW00KDHb01VP2WvVVQmq/j5tNc8eD7/mfrdvl7u8+VehwPry8gIg3xHv5v&#10;b7WCfAZ/X9IPkMsbAAAA//8DAFBLAQItABQABgAIAAAAIQDb4fbL7gAAAIUBAAATAAAAAAAAAAAA&#10;AAAAAAAAAABbQ29udGVudF9UeXBlc10ueG1sUEsBAi0AFAAGAAgAAAAhAFr0LFu/AAAAFQEAAAsA&#10;AAAAAAAAAAAAAAAAHwEAAF9yZWxzLy5yZWxzUEsBAi0AFAAGAAgAAAAhAFVRi37EAAAA2wAAAA8A&#10;AAAAAAAAAAAAAAAABwIAAGRycy9kb3ducmV2LnhtbFBLBQYAAAAAAwADALcAAAD4AgAAAAA=&#10;" adj="10800" fillcolor="black [3213]" strokecolor="black [3213]" strokeweight="2pt"/>
                <v:shape id="Text Box 33" o:spid="_x0000_s1035" type="#_x0000_t202" style="position:absolute;top:2844;width:9112;height:14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NiwwAAANsAAAAPAAAAZHJzL2Rvd25yZXYueG1sRI/disIw&#10;FITvF3yHcIS9WTR1hVWrUUQqKKuIPw9waI5tsTkpTaz17Y2wsJfDzDfDzBatKUVDtSssKxj0IxDE&#10;qdUFZwou53VvDMJ5ZI2lZVLwJAeLeedjhrG2Dz5Sc/KZCCXsYlSQe1/FUro0J4Oubyvi4F1tbdAH&#10;WWdS1/gI5aaU31H0Iw0WHBZyrGiVU3o73Y2C4eieNofod6+TSbOb4DbJvg6JUp/ddjkF4an1/+E/&#10;eqMDN4T3l/AD5PwFAAD//wMAUEsBAi0AFAAGAAgAAAAhANvh9svuAAAAhQEAABMAAAAAAAAAAAAA&#10;AAAAAAAAAFtDb250ZW50X1R5cGVzXS54bWxQSwECLQAUAAYACAAAACEAWvQsW78AAAAVAQAACwAA&#10;AAAAAAAAAAAAAAAfAQAAX3JlbHMvLnJlbHNQSwECLQAUAAYACAAAACEA0xbzYsMAAADbAAAADwAA&#10;AAAAAAAAAAAAAAAHAgAAZHJzL2Rvd25yZXYueG1sUEsFBgAAAAADAAMAtwAAAPcCAAAAAA==&#10;" filled="f" strokecolor="windowText" strokeweight="1.5pt">
                  <v:stroke dashstyle="dash"/>
                  <v:textbox>
                    <w:txbxContent>
                      <w:p w14:paraId="1A252590" w14:textId="77777777" w:rsidR="00CE088E" w:rsidRPr="001E73CD" w:rsidRDefault="00CE088E" w:rsidP="005A108E">
                        <w:pPr>
                          <w:spacing w:before="120" w:after="120"/>
                          <w:jc w:val="center"/>
                          <w:rPr>
                            <w:sz w:val="18"/>
                          </w:rPr>
                        </w:pPr>
                        <w:r w:rsidRPr="001E73CD">
                          <w:rPr>
                            <w:b/>
                            <w:sz w:val="18"/>
                          </w:rPr>
                          <w:t xml:space="preserve">Gender essentialist ideology in advanced industrial countries, such as Australia </w:t>
                        </w:r>
                      </w:p>
                    </w:txbxContent>
                  </v:textbox>
                </v:shape>
                <w10:wrap type="topAndBottom" anchorx="margin"/>
              </v:group>
            </w:pict>
          </mc:Fallback>
        </mc:AlternateContent>
      </w:r>
      <w:r w:rsidRPr="00067E0C">
        <w:t xml:space="preserve">Figure </w:t>
      </w:r>
      <w:r w:rsidR="009748FA">
        <w:t>11</w:t>
      </w:r>
      <w:r w:rsidRPr="00067E0C">
        <w:tab/>
        <w:t xml:space="preserve">Key factors that may </w:t>
      </w:r>
      <w:r>
        <w:t>influence a student’</w:t>
      </w:r>
      <w:r w:rsidRPr="00067E0C">
        <w:t>s chance of choosing a math</w:t>
      </w:r>
      <w:r>
        <w:t>s-</w:t>
      </w:r>
      <w:r w:rsidRPr="00067E0C">
        <w:t>intensi</w:t>
      </w:r>
      <w:r>
        <w:t>ve university major</w:t>
      </w:r>
      <w:bookmarkEnd w:id="182"/>
      <w:r>
        <w:t xml:space="preserve"> </w:t>
      </w:r>
    </w:p>
    <w:p w14:paraId="7826AB1D" w14:textId="77777777" w:rsidR="005A108E" w:rsidRPr="00067E0C" w:rsidRDefault="005A108E" w:rsidP="00245694">
      <w:pPr>
        <w:pStyle w:val="Text"/>
      </w:pPr>
    </w:p>
    <w:p w14:paraId="7E7F7197" w14:textId="0A66CFD0" w:rsidR="005A108E" w:rsidRDefault="005A108E" w:rsidP="00245694">
      <w:pPr>
        <w:pStyle w:val="Text"/>
      </w:pPr>
      <w:r>
        <w:t xml:space="preserve">Data from the 2003 cohort of </w:t>
      </w:r>
      <w:r w:rsidR="0041525B">
        <w:t>the Longitudinal Surveys of Australian Youth (</w:t>
      </w:r>
      <w:r>
        <w:t>LSAY</w:t>
      </w:r>
      <w:r w:rsidR="0041525B">
        <w:t>)</w:t>
      </w:r>
      <w:r>
        <w:t xml:space="preserve">, also known as Y03, offer a great opportunity </w:t>
      </w:r>
      <w:r w:rsidR="00ED09C4">
        <w:t>for</w:t>
      </w:r>
      <w:r>
        <w:t xml:space="preserve"> examin</w:t>
      </w:r>
      <w:r w:rsidR="00ED09C4">
        <w:t>ing</w:t>
      </w:r>
      <w:r>
        <w:t xml:space="preserve"> the issue </w:t>
      </w:r>
      <w:r w:rsidR="0040107E">
        <w:t>shown</w:t>
      </w:r>
      <w:r>
        <w:t xml:space="preserve"> in </w:t>
      </w:r>
      <w:r w:rsidR="00ED09C4">
        <w:t>f</w:t>
      </w:r>
      <w:r>
        <w:t>igure 1</w:t>
      </w:r>
      <w:r w:rsidR="003A3EEB">
        <w:t>1</w:t>
      </w:r>
      <w:r>
        <w:t xml:space="preserve"> because they provide a wealth of information about students’ occupational expectations and educational experiences regarding maths. I examine the educational pathways of men and women from age 15 </w:t>
      </w:r>
      <w:r w:rsidR="00ED09C4">
        <w:t xml:space="preserve">years </w:t>
      </w:r>
      <w:r>
        <w:t>through Year 12 to the engagement in maths-intensive fields at university. Therefore, I restrict the sample for analyses to students who reported that they completed Year 12, enrolled in a bachelor’s degree program between 2004 and 2013, and provided information on their fields of study. Specifically, I selected participants who completed Year 12</w:t>
      </w:r>
      <w:r w:rsidR="006E6C61">
        <w:t>, with</w:t>
      </w:r>
      <w:r>
        <w:t xml:space="preserve"> 6747 participants me</w:t>
      </w:r>
      <w:r w:rsidR="006E6C61">
        <w:t>e</w:t>
      </w:r>
      <w:r>
        <w:t>t</w:t>
      </w:r>
      <w:r w:rsidR="006E6C61">
        <w:t>ing</w:t>
      </w:r>
      <w:r>
        <w:t xml:space="preserve"> this criterion. Among these participants, 3712 enrolled in a bachelor’s degree program after completing Year 12. A total of 210 participants did not report their fields of study, and therefore the resulting pooled sample for the analyses comprises 3502 participants.</w:t>
      </w:r>
    </w:p>
    <w:p w14:paraId="7A35AA02" w14:textId="77777777" w:rsidR="005A108E" w:rsidRDefault="005A108E" w:rsidP="005A108E">
      <w:pPr>
        <w:pStyle w:val="Heading2"/>
      </w:pPr>
      <w:bookmarkStart w:id="183" w:name="_Toc15048937"/>
      <w:bookmarkStart w:id="184" w:name="_Toc19803950"/>
      <w:r>
        <w:t>How do men and women differ in their university major choices, occupational experiences, achievement and self-assessed competence in maths, and subject choices in Year 12?</w:t>
      </w:r>
      <w:bookmarkEnd w:id="183"/>
      <w:bookmarkEnd w:id="184"/>
    </w:p>
    <w:p w14:paraId="77C80E2D" w14:textId="37EDB57D" w:rsidR="005A108E" w:rsidRDefault="005A108E" w:rsidP="00245694">
      <w:pPr>
        <w:pStyle w:val="Text"/>
      </w:pPr>
      <w:r>
        <w:t>Table 1</w:t>
      </w:r>
      <w:r w:rsidR="009748FA">
        <w:t>5</w:t>
      </w:r>
      <w:r>
        <w:t xml:space="preserve"> shows that</w:t>
      </w:r>
      <w:r w:rsidR="000E7547">
        <w:t>,</w:t>
      </w:r>
      <w:r>
        <w:t xml:space="preserve"> in the Y03 cohort, men were about </w:t>
      </w:r>
      <w:r w:rsidR="000E7547">
        <w:t>four</w:t>
      </w:r>
      <w:r>
        <w:t xml:space="preserve"> times more likely than women to choose a maths-intensive bachelor’s degree program (28</w:t>
      </w:r>
      <w:r w:rsidR="000E7547">
        <w:t>%</w:t>
      </w:r>
      <w:r>
        <w:t xml:space="preserve"> versus 7</w:t>
      </w:r>
      <w:r w:rsidR="000E7547">
        <w:t>%</w:t>
      </w:r>
      <w:r>
        <w:t>). A striking gender difference exists in occupational expectations: 25</w:t>
      </w:r>
      <w:r w:rsidR="00B61508">
        <w:t>%</w:t>
      </w:r>
      <w:r>
        <w:t xml:space="preserve"> of men expected a maths-intensive career when they were 15 years old, whereas only 7</w:t>
      </w:r>
      <w:r w:rsidR="00582A54">
        <w:t>%</w:t>
      </w:r>
      <w:r>
        <w:t xml:space="preserve"> of women expected such a career. On average, men performed slightly better in maths and had a considerably higher level of self-</w:t>
      </w:r>
      <w:r>
        <w:lastRenderedPageBreak/>
        <w:t>assessed maths competence when they were 15 years old. While men were more likely to enrol in at least one subject in advanced maths (that is, the highest level of school math</w:t>
      </w:r>
      <w:r w:rsidR="00B61508">
        <w:t>s, which</w:t>
      </w:r>
      <w:r>
        <w:t xml:space="preserve"> involves significant calculus content) in conjunction with at least one subject in physical science in Year 12, men and women did not differ significantly in their enrolment rates in physical science or advanced maths</w:t>
      </w:r>
      <w:r w:rsidR="00AE7935">
        <w:t xml:space="preserve"> in Year 12</w:t>
      </w:r>
      <w:r>
        <w:t>.</w:t>
      </w:r>
    </w:p>
    <w:p w14:paraId="50D4D380" w14:textId="141788A0" w:rsidR="005A108E" w:rsidRPr="00F1020F" w:rsidRDefault="005A108E" w:rsidP="00B02EAA">
      <w:pPr>
        <w:pStyle w:val="tabletitle0"/>
      </w:pPr>
      <w:bookmarkStart w:id="185" w:name="_Toc19001672"/>
      <w:r w:rsidRPr="00F1020F">
        <w:t>Table 1</w:t>
      </w:r>
      <w:r w:rsidR="009748FA">
        <w:t>5</w:t>
      </w:r>
      <w:r w:rsidRPr="00F1020F">
        <w:tab/>
        <w:t>Student characteristics by gender: proportions and means</w:t>
      </w:r>
      <w:bookmarkEnd w:id="185"/>
      <w:r w:rsidRPr="00F1020F">
        <w:t xml:space="preserve"> </w:t>
      </w:r>
    </w:p>
    <w:tbl>
      <w:tblPr>
        <w:tblW w:w="5000" w:type="pct"/>
        <w:tblLayout w:type="fixed"/>
        <w:tblCellMar>
          <w:left w:w="28" w:type="dxa"/>
          <w:right w:w="28" w:type="dxa"/>
        </w:tblCellMar>
        <w:tblLook w:val="04A0" w:firstRow="1" w:lastRow="0" w:firstColumn="1" w:lastColumn="0" w:noHBand="0" w:noVBand="1"/>
      </w:tblPr>
      <w:tblGrid>
        <w:gridCol w:w="3968"/>
        <w:gridCol w:w="567"/>
        <w:gridCol w:w="284"/>
        <w:gridCol w:w="852"/>
        <w:gridCol w:w="283"/>
        <w:gridCol w:w="568"/>
        <w:gridCol w:w="141"/>
        <w:gridCol w:w="424"/>
        <w:gridCol w:w="329"/>
        <w:gridCol w:w="521"/>
      </w:tblGrid>
      <w:tr w:rsidR="008721E6" w:rsidRPr="00DB4FDF" w14:paraId="0040DC34" w14:textId="77777777" w:rsidTr="00D6399F">
        <w:trPr>
          <w:trHeight w:val="272"/>
        </w:trPr>
        <w:tc>
          <w:tcPr>
            <w:tcW w:w="2500" w:type="pct"/>
            <w:tcBorders>
              <w:top w:val="single" w:sz="6" w:space="0" w:color="auto"/>
              <w:left w:val="nil"/>
              <w:bottom w:val="single" w:sz="4" w:space="0" w:color="auto"/>
              <w:right w:val="nil"/>
            </w:tcBorders>
            <w:shd w:val="clear" w:color="auto" w:fill="auto"/>
            <w:noWrap/>
            <w:vAlign w:val="center"/>
            <w:hideMark/>
          </w:tcPr>
          <w:p w14:paraId="0FC2B8C9" w14:textId="77777777" w:rsidR="005A108E" w:rsidRPr="00DB4FDF" w:rsidRDefault="005A108E" w:rsidP="00245694">
            <w:pPr>
              <w:pStyle w:val="Tabletext"/>
            </w:pPr>
          </w:p>
        </w:tc>
        <w:tc>
          <w:tcPr>
            <w:tcW w:w="357" w:type="pct"/>
            <w:tcBorders>
              <w:top w:val="single" w:sz="6" w:space="0" w:color="auto"/>
              <w:left w:val="nil"/>
              <w:bottom w:val="single" w:sz="4" w:space="0" w:color="auto"/>
              <w:right w:val="nil"/>
            </w:tcBorders>
            <w:shd w:val="clear" w:color="auto" w:fill="auto"/>
            <w:noWrap/>
            <w:vAlign w:val="center"/>
            <w:hideMark/>
          </w:tcPr>
          <w:p w14:paraId="3C379DFC" w14:textId="77777777" w:rsidR="005A108E" w:rsidRPr="008721E6" w:rsidRDefault="005A108E" w:rsidP="00245694">
            <w:pPr>
              <w:pStyle w:val="Tabletext"/>
              <w:rPr>
                <w:b/>
                <w:bCs/>
                <w:color w:val="000000"/>
              </w:rPr>
            </w:pPr>
            <w:r w:rsidRPr="008721E6">
              <w:rPr>
                <w:b/>
                <w:bCs/>
                <w:color w:val="000000"/>
              </w:rPr>
              <w:t>Men</w:t>
            </w:r>
          </w:p>
        </w:tc>
        <w:tc>
          <w:tcPr>
            <w:tcW w:w="179" w:type="pct"/>
            <w:tcBorders>
              <w:top w:val="single" w:sz="6" w:space="0" w:color="auto"/>
              <w:left w:val="nil"/>
              <w:bottom w:val="single" w:sz="4" w:space="0" w:color="auto"/>
              <w:right w:val="nil"/>
            </w:tcBorders>
          </w:tcPr>
          <w:p w14:paraId="3CB49168" w14:textId="77777777" w:rsidR="005A108E" w:rsidRPr="008721E6" w:rsidRDefault="005A108E" w:rsidP="00245694">
            <w:pPr>
              <w:pStyle w:val="Tabletext"/>
              <w:rPr>
                <w:b/>
                <w:bCs/>
                <w:color w:val="000000"/>
              </w:rPr>
            </w:pPr>
          </w:p>
        </w:tc>
        <w:tc>
          <w:tcPr>
            <w:tcW w:w="537" w:type="pct"/>
            <w:tcBorders>
              <w:top w:val="single" w:sz="6" w:space="0" w:color="auto"/>
              <w:left w:val="nil"/>
              <w:bottom w:val="single" w:sz="4" w:space="0" w:color="auto"/>
              <w:right w:val="nil"/>
            </w:tcBorders>
            <w:shd w:val="clear" w:color="auto" w:fill="auto"/>
            <w:noWrap/>
            <w:vAlign w:val="center"/>
            <w:hideMark/>
          </w:tcPr>
          <w:p w14:paraId="763B19D8" w14:textId="77777777" w:rsidR="005A108E" w:rsidRPr="008721E6" w:rsidRDefault="005A108E" w:rsidP="00245694">
            <w:pPr>
              <w:pStyle w:val="Tabletext"/>
              <w:rPr>
                <w:b/>
                <w:bCs/>
                <w:color w:val="000000"/>
              </w:rPr>
            </w:pPr>
            <w:r w:rsidRPr="008721E6">
              <w:rPr>
                <w:b/>
                <w:bCs/>
                <w:color w:val="000000"/>
              </w:rPr>
              <w:t>Women</w:t>
            </w:r>
          </w:p>
        </w:tc>
        <w:tc>
          <w:tcPr>
            <w:tcW w:w="178" w:type="pct"/>
            <w:tcBorders>
              <w:top w:val="single" w:sz="6" w:space="0" w:color="auto"/>
              <w:left w:val="nil"/>
              <w:bottom w:val="single" w:sz="4" w:space="0" w:color="auto"/>
              <w:right w:val="nil"/>
            </w:tcBorders>
          </w:tcPr>
          <w:p w14:paraId="545B7638" w14:textId="77777777" w:rsidR="005A108E" w:rsidRPr="008721E6" w:rsidRDefault="005A108E" w:rsidP="00245694">
            <w:pPr>
              <w:pStyle w:val="Tabletext"/>
              <w:rPr>
                <w:b/>
                <w:bCs/>
                <w:color w:val="000000"/>
              </w:rPr>
            </w:pPr>
          </w:p>
        </w:tc>
        <w:tc>
          <w:tcPr>
            <w:tcW w:w="358" w:type="pct"/>
            <w:tcBorders>
              <w:top w:val="single" w:sz="6" w:space="0" w:color="auto"/>
              <w:left w:val="nil"/>
              <w:bottom w:val="single" w:sz="4" w:space="0" w:color="auto"/>
              <w:right w:val="nil"/>
            </w:tcBorders>
            <w:shd w:val="clear" w:color="auto" w:fill="auto"/>
            <w:noWrap/>
            <w:vAlign w:val="center"/>
            <w:hideMark/>
          </w:tcPr>
          <w:p w14:paraId="53D31AD5" w14:textId="77777777" w:rsidR="005A108E" w:rsidRPr="008721E6" w:rsidRDefault="005A108E" w:rsidP="00245694">
            <w:pPr>
              <w:pStyle w:val="Tabletext"/>
              <w:rPr>
                <w:b/>
                <w:bCs/>
                <w:color w:val="000000"/>
              </w:rPr>
            </w:pPr>
            <w:r w:rsidRPr="008721E6">
              <w:rPr>
                <w:b/>
                <w:bCs/>
                <w:color w:val="000000"/>
              </w:rPr>
              <w:t>Min.</w:t>
            </w:r>
          </w:p>
        </w:tc>
        <w:tc>
          <w:tcPr>
            <w:tcW w:w="89" w:type="pct"/>
            <w:tcBorders>
              <w:top w:val="single" w:sz="6" w:space="0" w:color="auto"/>
              <w:left w:val="nil"/>
              <w:bottom w:val="single" w:sz="4" w:space="0" w:color="auto"/>
              <w:right w:val="nil"/>
            </w:tcBorders>
          </w:tcPr>
          <w:p w14:paraId="64B94B12" w14:textId="77777777" w:rsidR="005A108E" w:rsidRPr="008721E6" w:rsidRDefault="005A108E" w:rsidP="00245694">
            <w:pPr>
              <w:pStyle w:val="Tabletext"/>
              <w:rPr>
                <w:b/>
                <w:bCs/>
                <w:color w:val="000000"/>
              </w:rPr>
            </w:pPr>
          </w:p>
        </w:tc>
        <w:tc>
          <w:tcPr>
            <w:tcW w:w="267" w:type="pct"/>
            <w:tcBorders>
              <w:top w:val="single" w:sz="6" w:space="0" w:color="auto"/>
              <w:left w:val="nil"/>
              <w:bottom w:val="single" w:sz="4" w:space="0" w:color="auto"/>
              <w:right w:val="nil"/>
            </w:tcBorders>
            <w:shd w:val="clear" w:color="auto" w:fill="auto"/>
            <w:noWrap/>
            <w:vAlign w:val="center"/>
            <w:hideMark/>
          </w:tcPr>
          <w:p w14:paraId="3381EEBF" w14:textId="77777777" w:rsidR="005A108E" w:rsidRPr="008721E6" w:rsidRDefault="005A108E" w:rsidP="00245694">
            <w:pPr>
              <w:pStyle w:val="Tabletext"/>
              <w:rPr>
                <w:b/>
              </w:rPr>
            </w:pPr>
            <w:r w:rsidRPr="008721E6">
              <w:rPr>
                <w:b/>
                <w:bCs/>
                <w:color w:val="000000"/>
              </w:rPr>
              <w:t>Max.</w:t>
            </w:r>
          </w:p>
        </w:tc>
        <w:tc>
          <w:tcPr>
            <w:tcW w:w="207" w:type="pct"/>
            <w:tcBorders>
              <w:top w:val="single" w:sz="6" w:space="0" w:color="auto"/>
              <w:left w:val="nil"/>
              <w:bottom w:val="single" w:sz="4" w:space="0" w:color="auto"/>
              <w:right w:val="nil"/>
            </w:tcBorders>
          </w:tcPr>
          <w:p w14:paraId="1AB0DCDF" w14:textId="77777777" w:rsidR="005A108E" w:rsidRPr="008721E6" w:rsidRDefault="005A108E" w:rsidP="00245694">
            <w:pPr>
              <w:pStyle w:val="Tabletext"/>
              <w:rPr>
                <w:b/>
                <w:bCs/>
                <w:i/>
                <w:iCs/>
                <w:color w:val="000000"/>
              </w:rPr>
            </w:pPr>
          </w:p>
        </w:tc>
        <w:tc>
          <w:tcPr>
            <w:tcW w:w="328" w:type="pct"/>
            <w:tcBorders>
              <w:top w:val="single" w:sz="6" w:space="0" w:color="auto"/>
              <w:left w:val="nil"/>
              <w:bottom w:val="single" w:sz="4" w:space="0" w:color="auto"/>
              <w:right w:val="nil"/>
            </w:tcBorders>
            <w:shd w:val="clear" w:color="auto" w:fill="auto"/>
            <w:noWrap/>
            <w:vAlign w:val="center"/>
            <w:hideMark/>
          </w:tcPr>
          <w:p w14:paraId="0E16156E" w14:textId="77777777" w:rsidR="005A108E" w:rsidRPr="008721E6" w:rsidRDefault="005A108E" w:rsidP="00245694">
            <w:pPr>
              <w:pStyle w:val="Tabletext"/>
              <w:rPr>
                <w:b/>
              </w:rPr>
            </w:pPr>
            <w:r w:rsidRPr="008721E6">
              <w:rPr>
                <w:b/>
                <w:bCs/>
                <w:i/>
                <w:iCs/>
                <w:color w:val="000000"/>
              </w:rPr>
              <w:t>N</w:t>
            </w:r>
          </w:p>
        </w:tc>
      </w:tr>
      <w:tr w:rsidR="008721E6" w:rsidRPr="00DB4FDF" w14:paraId="12B8BB89" w14:textId="77777777" w:rsidTr="008721E6">
        <w:trPr>
          <w:trHeight w:val="300"/>
        </w:trPr>
        <w:tc>
          <w:tcPr>
            <w:tcW w:w="2500" w:type="pct"/>
            <w:tcBorders>
              <w:left w:val="nil"/>
              <w:bottom w:val="nil"/>
              <w:right w:val="nil"/>
            </w:tcBorders>
            <w:shd w:val="clear" w:color="auto" w:fill="auto"/>
            <w:noWrap/>
            <w:vAlign w:val="center"/>
            <w:hideMark/>
          </w:tcPr>
          <w:p w14:paraId="534C760E" w14:textId="6C6B3C91" w:rsidR="005A108E" w:rsidRPr="00DB4FDF" w:rsidRDefault="005A108E" w:rsidP="00245694">
            <w:pPr>
              <w:pStyle w:val="Tabletext"/>
              <w:rPr>
                <w:color w:val="000000"/>
              </w:rPr>
            </w:pPr>
            <w:r>
              <w:rPr>
                <w:color w:val="000000"/>
              </w:rPr>
              <w:t>Choice of</w:t>
            </w:r>
            <w:r w:rsidRPr="00DB4FDF">
              <w:rPr>
                <w:color w:val="000000"/>
              </w:rPr>
              <w:t xml:space="preserve"> a maths-intensive </w:t>
            </w:r>
            <w:proofErr w:type="spellStart"/>
            <w:r w:rsidRPr="00DB4FDF">
              <w:rPr>
                <w:color w:val="000000"/>
              </w:rPr>
              <w:t>degree</w:t>
            </w:r>
            <w:r w:rsidRPr="00DB4FDF">
              <w:rPr>
                <w:color w:val="000000"/>
                <w:vertAlign w:val="superscript"/>
              </w:rPr>
              <w:t>a</w:t>
            </w:r>
            <w:proofErr w:type="spellEnd"/>
            <w:r w:rsidRPr="00DB4FDF">
              <w:rPr>
                <w:color w:val="000000"/>
                <w:vertAlign w:val="superscript"/>
              </w:rPr>
              <w:t xml:space="preserve"> </w:t>
            </w:r>
          </w:p>
        </w:tc>
        <w:tc>
          <w:tcPr>
            <w:tcW w:w="357" w:type="pct"/>
            <w:tcBorders>
              <w:left w:val="nil"/>
              <w:bottom w:val="nil"/>
              <w:right w:val="nil"/>
            </w:tcBorders>
            <w:shd w:val="clear" w:color="auto" w:fill="auto"/>
            <w:noWrap/>
            <w:vAlign w:val="center"/>
          </w:tcPr>
          <w:p w14:paraId="3759D5A6" w14:textId="77777777" w:rsidR="005A108E" w:rsidRPr="00DB4FDF" w:rsidRDefault="005A108E" w:rsidP="00245694">
            <w:pPr>
              <w:pStyle w:val="Tabletext"/>
              <w:rPr>
                <w:color w:val="000000"/>
              </w:rPr>
            </w:pPr>
            <w:r w:rsidRPr="00DB4FDF">
              <w:rPr>
                <w:color w:val="000000"/>
              </w:rPr>
              <w:t>0.28</w:t>
            </w:r>
          </w:p>
        </w:tc>
        <w:tc>
          <w:tcPr>
            <w:tcW w:w="179" w:type="pct"/>
            <w:tcBorders>
              <w:left w:val="nil"/>
              <w:bottom w:val="nil"/>
              <w:right w:val="nil"/>
            </w:tcBorders>
          </w:tcPr>
          <w:p w14:paraId="0C660C03" w14:textId="77777777" w:rsidR="005A108E" w:rsidRPr="00DB4FDF" w:rsidRDefault="005A108E" w:rsidP="00245694">
            <w:pPr>
              <w:pStyle w:val="Tabletext"/>
              <w:rPr>
                <w:color w:val="000000"/>
              </w:rPr>
            </w:pPr>
          </w:p>
        </w:tc>
        <w:tc>
          <w:tcPr>
            <w:tcW w:w="537" w:type="pct"/>
            <w:tcBorders>
              <w:left w:val="nil"/>
              <w:bottom w:val="nil"/>
              <w:right w:val="nil"/>
            </w:tcBorders>
            <w:shd w:val="clear" w:color="auto" w:fill="auto"/>
            <w:noWrap/>
            <w:vAlign w:val="center"/>
          </w:tcPr>
          <w:p w14:paraId="41E7863D" w14:textId="77777777" w:rsidR="005A108E" w:rsidRPr="00DB4FDF" w:rsidRDefault="005A108E" w:rsidP="00245694">
            <w:pPr>
              <w:pStyle w:val="Tabletext"/>
              <w:rPr>
                <w:color w:val="000000"/>
              </w:rPr>
            </w:pPr>
            <w:r w:rsidRPr="00DB4FDF">
              <w:rPr>
                <w:color w:val="000000"/>
              </w:rPr>
              <w:t>0.07</w:t>
            </w:r>
          </w:p>
        </w:tc>
        <w:tc>
          <w:tcPr>
            <w:tcW w:w="178" w:type="pct"/>
            <w:tcBorders>
              <w:left w:val="nil"/>
              <w:bottom w:val="nil"/>
              <w:right w:val="nil"/>
            </w:tcBorders>
          </w:tcPr>
          <w:p w14:paraId="6A15A002" w14:textId="77777777" w:rsidR="005A108E" w:rsidRPr="00DB4FDF" w:rsidRDefault="005A108E" w:rsidP="00245694">
            <w:pPr>
              <w:pStyle w:val="Tabletext"/>
              <w:rPr>
                <w:color w:val="000000"/>
              </w:rPr>
            </w:pPr>
          </w:p>
        </w:tc>
        <w:tc>
          <w:tcPr>
            <w:tcW w:w="358" w:type="pct"/>
            <w:tcBorders>
              <w:left w:val="nil"/>
              <w:bottom w:val="nil"/>
              <w:right w:val="nil"/>
            </w:tcBorders>
            <w:shd w:val="clear" w:color="auto" w:fill="auto"/>
            <w:noWrap/>
            <w:vAlign w:val="center"/>
          </w:tcPr>
          <w:p w14:paraId="5AA8625D" w14:textId="77777777" w:rsidR="005A108E" w:rsidRPr="00DB4FDF" w:rsidRDefault="005A108E" w:rsidP="00245694">
            <w:pPr>
              <w:pStyle w:val="Tabletext"/>
              <w:rPr>
                <w:color w:val="000000"/>
              </w:rPr>
            </w:pPr>
            <w:r w:rsidRPr="00DB4FDF">
              <w:rPr>
                <w:color w:val="000000"/>
              </w:rPr>
              <w:t>0</w:t>
            </w:r>
          </w:p>
        </w:tc>
        <w:tc>
          <w:tcPr>
            <w:tcW w:w="89" w:type="pct"/>
            <w:tcBorders>
              <w:left w:val="nil"/>
              <w:bottom w:val="nil"/>
              <w:right w:val="nil"/>
            </w:tcBorders>
          </w:tcPr>
          <w:p w14:paraId="08D26A5F" w14:textId="77777777" w:rsidR="005A108E" w:rsidRPr="00DB4FDF" w:rsidRDefault="005A108E" w:rsidP="00245694">
            <w:pPr>
              <w:pStyle w:val="Tabletext"/>
              <w:rPr>
                <w:color w:val="000000"/>
              </w:rPr>
            </w:pPr>
          </w:p>
        </w:tc>
        <w:tc>
          <w:tcPr>
            <w:tcW w:w="267" w:type="pct"/>
            <w:tcBorders>
              <w:left w:val="nil"/>
              <w:bottom w:val="nil"/>
              <w:right w:val="nil"/>
            </w:tcBorders>
            <w:shd w:val="clear" w:color="auto" w:fill="auto"/>
            <w:noWrap/>
            <w:vAlign w:val="center"/>
          </w:tcPr>
          <w:p w14:paraId="0B477729" w14:textId="77777777" w:rsidR="005A108E" w:rsidRPr="00DB4FDF" w:rsidRDefault="005A108E" w:rsidP="00245694">
            <w:pPr>
              <w:pStyle w:val="Tabletext"/>
              <w:rPr>
                <w:color w:val="000000"/>
              </w:rPr>
            </w:pPr>
            <w:r w:rsidRPr="00DB4FDF">
              <w:rPr>
                <w:color w:val="000000"/>
              </w:rPr>
              <w:t>1</w:t>
            </w:r>
          </w:p>
        </w:tc>
        <w:tc>
          <w:tcPr>
            <w:tcW w:w="207" w:type="pct"/>
            <w:tcBorders>
              <w:left w:val="nil"/>
              <w:bottom w:val="nil"/>
              <w:right w:val="nil"/>
            </w:tcBorders>
          </w:tcPr>
          <w:p w14:paraId="4FB31FA8" w14:textId="77777777" w:rsidR="005A108E" w:rsidRPr="00DB4FDF" w:rsidRDefault="005A108E" w:rsidP="00245694">
            <w:pPr>
              <w:pStyle w:val="Tabletext"/>
              <w:rPr>
                <w:color w:val="000000"/>
              </w:rPr>
            </w:pPr>
          </w:p>
        </w:tc>
        <w:tc>
          <w:tcPr>
            <w:tcW w:w="328" w:type="pct"/>
            <w:tcBorders>
              <w:left w:val="nil"/>
              <w:bottom w:val="nil"/>
              <w:right w:val="nil"/>
            </w:tcBorders>
            <w:shd w:val="clear" w:color="auto" w:fill="auto"/>
            <w:noWrap/>
            <w:vAlign w:val="center"/>
          </w:tcPr>
          <w:p w14:paraId="25D25FFA" w14:textId="77C93A3D" w:rsidR="005A108E" w:rsidRPr="00DB4FDF" w:rsidRDefault="005A108E" w:rsidP="00245694">
            <w:pPr>
              <w:pStyle w:val="Tabletext"/>
              <w:rPr>
                <w:color w:val="000000"/>
              </w:rPr>
            </w:pPr>
            <w:r w:rsidRPr="00DB4FDF">
              <w:rPr>
                <w:color w:val="000000"/>
              </w:rPr>
              <w:t>3</w:t>
            </w:r>
            <w:r w:rsidR="00842AE4">
              <w:rPr>
                <w:color w:val="000000"/>
              </w:rPr>
              <w:t xml:space="preserve"> </w:t>
            </w:r>
            <w:r w:rsidRPr="00DB4FDF">
              <w:rPr>
                <w:color w:val="000000"/>
              </w:rPr>
              <w:t>502</w:t>
            </w:r>
          </w:p>
        </w:tc>
      </w:tr>
      <w:tr w:rsidR="008721E6" w:rsidRPr="00DB4FDF" w14:paraId="55B3E041" w14:textId="77777777" w:rsidTr="008721E6">
        <w:trPr>
          <w:trHeight w:val="300"/>
        </w:trPr>
        <w:tc>
          <w:tcPr>
            <w:tcW w:w="2500" w:type="pct"/>
            <w:tcBorders>
              <w:left w:val="nil"/>
              <w:bottom w:val="nil"/>
              <w:right w:val="nil"/>
            </w:tcBorders>
            <w:shd w:val="clear" w:color="auto" w:fill="auto"/>
            <w:noWrap/>
            <w:vAlign w:val="center"/>
          </w:tcPr>
          <w:p w14:paraId="53FF35B5" w14:textId="2E99B472" w:rsidR="005A108E" w:rsidRPr="00DB4FDF" w:rsidRDefault="005A108E" w:rsidP="00245694">
            <w:pPr>
              <w:pStyle w:val="Tabletext"/>
              <w:rPr>
                <w:color w:val="000000"/>
              </w:rPr>
            </w:pPr>
            <w:r w:rsidRPr="00DB4FDF">
              <w:rPr>
                <w:color w:val="000000"/>
              </w:rPr>
              <w:t>Expected a maths-intensive career at age 15</w:t>
            </w:r>
            <w:r w:rsidRPr="00DB4FDF">
              <w:rPr>
                <w:color w:val="000000"/>
                <w:vertAlign w:val="superscript"/>
              </w:rPr>
              <w:t xml:space="preserve">a </w:t>
            </w:r>
          </w:p>
        </w:tc>
        <w:tc>
          <w:tcPr>
            <w:tcW w:w="357" w:type="pct"/>
            <w:tcBorders>
              <w:left w:val="nil"/>
              <w:bottom w:val="nil"/>
              <w:right w:val="nil"/>
            </w:tcBorders>
            <w:shd w:val="clear" w:color="auto" w:fill="auto"/>
            <w:noWrap/>
            <w:vAlign w:val="center"/>
          </w:tcPr>
          <w:p w14:paraId="00BC50C7" w14:textId="77777777" w:rsidR="005A108E" w:rsidRPr="00DB4FDF" w:rsidRDefault="005A108E" w:rsidP="00245694">
            <w:pPr>
              <w:pStyle w:val="Tabletext"/>
              <w:rPr>
                <w:color w:val="000000"/>
              </w:rPr>
            </w:pPr>
            <w:r w:rsidRPr="00DB4FDF">
              <w:rPr>
                <w:color w:val="000000"/>
              </w:rPr>
              <w:t>0.25</w:t>
            </w:r>
          </w:p>
        </w:tc>
        <w:tc>
          <w:tcPr>
            <w:tcW w:w="179" w:type="pct"/>
            <w:tcBorders>
              <w:left w:val="nil"/>
              <w:bottom w:val="nil"/>
              <w:right w:val="nil"/>
            </w:tcBorders>
          </w:tcPr>
          <w:p w14:paraId="5373849C" w14:textId="77777777" w:rsidR="005A108E" w:rsidRPr="00DB4FDF" w:rsidRDefault="005A108E" w:rsidP="00245694">
            <w:pPr>
              <w:pStyle w:val="Tabletext"/>
              <w:rPr>
                <w:color w:val="000000"/>
              </w:rPr>
            </w:pPr>
          </w:p>
        </w:tc>
        <w:tc>
          <w:tcPr>
            <w:tcW w:w="537" w:type="pct"/>
            <w:tcBorders>
              <w:left w:val="nil"/>
              <w:bottom w:val="nil"/>
              <w:right w:val="nil"/>
            </w:tcBorders>
            <w:shd w:val="clear" w:color="auto" w:fill="auto"/>
            <w:noWrap/>
            <w:vAlign w:val="center"/>
          </w:tcPr>
          <w:p w14:paraId="11B335DC" w14:textId="77777777" w:rsidR="005A108E" w:rsidRPr="00DB4FDF" w:rsidRDefault="005A108E" w:rsidP="00245694">
            <w:pPr>
              <w:pStyle w:val="Tabletext"/>
              <w:rPr>
                <w:color w:val="000000"/>
              </w:rPr>
            </w:pPr>
            <w:r w:rsidRPr="00DB4FDF">
              <w:rPr>
                <w:color w:val="000000"/>
              </w:rPr>
              <w:t>0.07</w:t>
            </w:r>
          </w:p>
        </w:tc>
        <w:tc>
          <w:tcPr>
            <w:tcW w:w="178" w:type="pct"/>
            <w:tcBorders>
              <w:left w:val="nil"/>
              <w:bottom w:val="nil"/>
              <w:right w:val="nil"/>
            </w:tcBorders>
          </w:tcPr>
          <w:p w14:paraId="2325E80E" w14:textId="77777777" w:rsidR="005A108E" w:rsidRPr="00DB4FDF" w:rsidRDefault="005A108E" w:rsidP="00245694">
            <w:pPr>
              <w:pStyle w:val="Tabletext"/>
              <w:rPr>
                <w:color w:val="000000"/>
              </w:rPr>
            </w:pPr>
          </w:p>
        </w:tc>
        <w:tc>
          <w:tcPr>
            <w:tcW w:w="358" w:type="pct"/>
            <w:tcBorders>
              <w:left w:val="nil"/>
              <w:bottom w:val="nil"/>
              <w:right w:val="nil"/>
            </w:tcBorders>
            <w:shd w:val="clear" w:color="auto" w:fill="auto"/>
            <w:noWrap/>
            <w:vAlign w:val="center"/>
          </w:tcPr>
          <w:p w14:paraId="00441E3B" w14:textId="77777777" w:rsidR="005A108E" w:rsidRPr="00DB4FDF" w:rsidRDefault="005A108E" w:rsidP="00245694">
            <w:pPr>
              <w:pStyle w:val="Tabletext"/>
              <w:rPr>
                <w:color w:val="000000"/>
              </w:rPr>
            </w:pPr>
            <w:r w:rsidRPr="00DB4FDF">
              <w:rPr>
                <w:color w:val="000000"/>
              </w:rPr>
              <w:t>0</w:t>
            </w:r>
          </w:p>
        </w:tc>
        <w:tc>
          <w:tcPr>
            <w:tcW w:w="89" w:type="pct"/>
            <w:tcBorders>
              <w:left w:val="nil"/>
              <w:bottom w:val="nil"/>
              <w:right w:val="nil"/>
            </w:tcBorders>
          </w:tcPr>
          <w:p w14:paraId="5048794D" w14:textId="77777777" w:rsidR="005A108E" w:rsidRPr="00DB4FDF" w:rsidRDefault="005A108E" w:rsidP="00245694">
            <w:pPr>
              <w:pStyle w:val="Tabletext"/>
              <w:rPr>
                <w:color w:val="000000"/>
              </w:rPr>
            </w:pPr>
          </w:p>
        </w:tc>
        <w:tc>
          <w:tcPr>
            <w:tcW w:w="267" w:type="pct"/>
            <w:tcBorders>
              <w:left w:val="nil"/>
              <w:bottom w:val="nil"/>
              <w:right w:val="nil"/>
            </w:tcBorders>
            <w:shd w:val="clear" w:color="auto" w:fill="auto"/>
            <w:noWrap/>
            <w:vAlign w:val="center"/>
          </w:tcPr>
          <w:p w14:paraId="07625DD6" w14:textId="77777777" w:rsidR="005A108E" w:rsidRPr="00DB4FDF" w:rsidRDefault="005A108E" w:rsidP="00245694">
            <w:pPr>
              <w:pStyle w:val="Tabletext"/>
              <w:rPr>
                <w:color w:val="000000"/>
              </w:rPr>
            </w:pPr>
            <w:r w:rsidRPr="00DB4FDF">
              <w:rPr>
                <w:color w:val="000000"/>
              </w:rPr>
              <w:t>1</w:t>
            </w:r>
          </w:p>
        </w:tc>
        <w:tc>
          <w:tcPr>
            <w:tcW w:w="207" w:type="pct"/>
            <w:tcBorders>
              <w:left w:val="nil"/>
              <w:bottom w:val="nil"/>
              <w:right w:val="nil"/>
            </w:tcBorders>
          </w:tcPr>
          <w:p w14:paraId="63B69AF4" w14:textId="77777777" w:rsidR="005A108E" w:rsidRPr="00DB4FDF" w:rsidRDefault="005A108E" w:rsidP="00245694">
            <w:pPr>
              <w:pStyle w:val="Tabletext"/>
              <w:rPr>
                <w:color w:val="000000"/>
              </w:rPr>
            </w:pPr>
          </w:p>
        </w:tc>
        <w:tc>
          <w:tcPr>
            <w:tcW w:w="328" w:type="pct"/>
            <w:tcBorders>
              <w:left w:val="nil"/>
              <w:bottom w:val="nil"/>
              <w:right w:val="nil"/>
            </w:tcBorders>
            <w:shd w:val="clear" w:color="auto" w:fill="auto"/>
            <w:noWrap/>
            <w:vAlign w:val="center"/>
          </w:tcPr>
          <w:p w14:paraId="6F637607" w14:textId="7DCC25F3" w:rsidR="005A108E" w:rsidRPr="00DB4FDF" w:rsidRDefault="005A108E" w:rsidP="00245694">
            <w:pPr>
              <w:pStyle w:val="Tabletext"/>
              <w:rPr>
                <w:color w:val="000000"/>
              </w:rPr>
            </w:pPr>
            <w:r w:rsidRPr="00DB4FDF">
              <w:rPr>
                <w:color w:val="000000"/>
              </w:rPr>
              <w:t>3</w:t>
            </w:r>
            <w:r w:rsidR="00842AE4">
              <w:rPr>
                <w:color w:val="000000"/>
              </w:rPr>
              <w:t xml:space="preserve"> </w:t>
            </w:r>
            <w:r w:rsidRPr="00DB4FDF">
              <w:rPr>
                <w:color w:val="000000"/>
              </w:rPr>
              <w:t>248</w:t>
            </w:r>
          </w:p>
        </w:tc>
      </w:tr>
      <w:tr w:rsidR="008721E6" w:rsidRPr="00DB4FDF" w14:paraId="2831ED20" w14:textId="77777777" w:rsidTr="008721E6">
        <w:trPr>
          <w:trHeight w:val="300"/>
        </w:trPr>
        <w:tc>
          <w:tcPr>
            <w:tcW w:w="2500" w:type="pct"/>
            <w:tcBorders>
              <w:top w:val="nil"/>
              <w:left w:val="nil"/>
              <w:right w:val="nil"/>
            </w:tcBorders>
            <w:shd w:val="clear" w:color="auto" w:fill="auto"/>
            <w:noWrap/>
            <w:vAlign w:val="center"/>
            <w:hideMark/>
          </w:tcPr>
          <w:p w14:paraId="70AF053D" w14:textId="36200887" w:rsidR="005A108E" w:rsidRPr="00DB4FDF" w:rsidRDefault="005A108E" w:rsidP="00245694">
            <w:pPr>
              <w:pStyle w:val="Tabletext"/>
              <w:rPr>
                <w:color w:val="000000"/>
              </w:rPr>
            </w:pPr>
            <w:r w:rsidRPr="00DB4FDF">
              <w:rPr>
                <w:color w:val="000000"/>
              </w:rPr>
              <w:t>Maths achievement at age 15</w:t>
            </w:r>
            <w:r w:rsidRPr="00DB4FDF">
              <w:rPr>
                <w:color w:val="000000"/>
                <w:vertAlign w:val="superscript"/>
              </w:rPr>
              <w:t xml:space="preserve">a </w:t>
            </w:r>
          </w:p>
        </w:tc>
        <w:tc>
          <w:tcPr>
            <w:tcW w:w="357" w:type="pct"/>
            <w:tcBorders>
              <w:top w:val="nil"/>
              <w:left w:val="nil"/>
              <w:right w:val="nil"/>
            </w:tcBorders>
            <w:shd w:val="clear" w:color="auto" w:fill="auto"/>
            <w:noWrap/>
            <w:vAlign w:val="center"/>
          </w:tcPr>
          <w:p w14:paraId="0568D705" w14:textId="77777777" w:rsidR="005A108E" w:rsidRPr="00DB4FDF" w:rsidRDefault="005A108E" w:rsidP="00245694">
            <w:pPr>
              <w:pStyle w:val="Tabletext"/>
              <w:rPr>
                <w:color w:val="000000"/>
              </w:rPr>
            </w:pPr>
            <w:r w:rsidRPr="00DB4FDF">
              <w:rPr>
                <w:color w:val="000000"/>
              </w:rPr>
              <w:t>60</w:t>
            </w:r>
            <w:r>
              <w:rPr>
                <w:color w:val="000000"/>
              </w:rPr>
              <w:t>4</w:t>
            </w:r>
          </w:p>
        </w:tc>
        <w:tc>
          <w:tcPr>
            <w:tcW w:w="179" w:type="pct"/>
            <w:tcBorders>
              <w:top w:val="nil"/>
              <w:left w:val="nil"/>
              <w:right w:val="nil"/>
            </w:tcBorders>
          </w:tcPr>
          <w:p w14:paraId="220D96FC" w14:textId="77777777" w:rsidR="005A108E" w:rsidRPr="00DB4FDF" w:rsidRDefault="005A108E" w:rsidP="00245694">
            <w:pPr>
              <w:pStyle w:val="Tabletext"/>
              <w:rPr>
                <w:color w:val="000000"/>
              </w:rPr>
            </w:pPr>
          </w:p>
        </w:tc>
        <w:tc>
          <w:tcPr>
            <w:tcW w:w="537" w:type="pct"/>
            <w:tcBorders>
              <w:top w:val="nil"/>
              <w:left w:val="nil"/>
              <w:right w:val="nil"/>
            </w:tcBorders>
            <w:shd w:val="clear" w:color="auto" w:fill="auto"/>
            <w:noWrap/>
            <w:vAlign w:val="center"/>
          </w:tcPr>
          <w:p w14:paraId="7E6615EA" w14:textId="77777777" w:rsidR="005A108E" w:rsidRPr="00DB4FDF" w:rsidRDefault="005A108E" w:rsidP="00245694">
            <w:pPr>
              <w:pStyle w:val="Tabletext"/>
              <w:rPr>
                <w:color w:val="000000"/>
              </w:rPr>
            </w:pPr>
            <w:r w:rsidRPr="00DB4FDF">
              <w:rPr>
                <w:color w:val="000000"/>
              </w:rPr>
              <w:t>575</w:t>
            </w:r>
          </w:p>
        </w:tc>
        <w:tc>
          <w:tcPr>
            <w:tcW w:w="178" w:type="pct"/>
            <w:tcBorders>
              <w:top w:val="nil"/>
              <w:left w:val="nil"/>
              <w:right w:val="nil"/>
            </w:tcBorders>
          </w:tcPr>
          <w:p w14:paraId="2D63A014" w14:textId="77777777" w:rsidR="005A108E" w:rsidRPr="00DB4FDF" w:rsidRDefault="005A108E" w:rsidP="00245694">
            <w:pPr>
              <w:pStyle w:val="Tabletext"/>
              <w:rPr>
                <w:color w:val="000000"/>
              </w:rPr>
            </w:pPr>
          </w:p>
        </w:tc>
        <w:tc>
          <w:tcPr>
            <w:tcW w:w="358" w:type="pct"/>
            <w:tcBorders>
              <w:top w:val="nil"/>
              <w:left w:val="nil"/>
              <w:right w:val="nil"/>
            </w:tcBorders>
            <w:shd w:val="clear" w:color="auto" w:fill="auto"/>
            <w:noWrap/>
            <w:vAlign w:val="center"/>
          </w:tcPr>
          <w:p w14:paraId="6200F2A9" w14:textId="77777777" w:rsidR="005A108E" w:rsidRPr="00DB4FDF" w:rsidRDefault="005A108E" w:rsidP="00245694">
            <w:pPr>
              <w:pStyle w:val="Tabletext"/>
              <w:rPr>
                <w:color w:val="000000"/>
              </w:rPr>
            </w:pPr>
            <w:r w:rsidRPr="00DB4FDF">
              <w:rPr>
                <w:color w:val="000000"/>
              </w:rPr>
              <w:t>25</w:t>
            </w:r>
            <w:r>
              <w:rPr>
                <w:color w:val="000000"/>
              </w:rPr>
              <w:t>9</w:t>
            </w:r>
          </w:p>
        </w:tc>
        <w:tc>
          <w:tcPr>
            <w:tcW w:w="89" w:type="pct"/>
            <w:tcBorders>
              <w:top w:val="nil"/>
              <w:left w:val="nil"/>
              <w:right w:val="nil"/>
            </w:tcBorders>
          </w:tcPr>
          <w:p w14:paraId="596A1D9A" w14:textId="77777777" w:rsidR="005A108E" w:rsidRPr="00DB4FDF" w:rsidRDefault="005A108E" w:rsidP="00245694">
            <w:pPr>
              <w:pStyle w:val="Tabletext"/>
              <w:rPr>
                <w:color w:val="000000"/>
              </w:rPr>
            </w:pPr>
          </w:p>
        </w:tc>
        <w:tc>
          <w:tcPr>
            <w:tcW w:w="267" w:type="pct"/>
            <w:tcBorders>
              <w:top w:val="nil"/>
              <w:left w:val="nil"/>
              <w:right w:val="nil"/>
            </w:tcBorders>
            <w:shd w:val="clear" w:color="auto" w:fill="auto"/>
            <w:noWrap/>
            <w:vAlign w:val="center"/>
          </w:tcPr>
          <w:p w14:paraId="56FE7F7A" w14:textId="77777777" w:rsidR="005A108E" w:rsidRPr="00DB4FDF" w:rsidRDefault="005A108E" w:rsidP="00245694">
            <w:pPr>
              <w:pStyle w:val="Tabletext"/>
              <w:rPr>
                <w:color w:val="000000"/>
              </w:rPr>
            </w:pPr>
            <w:r w:rsidRPr="00DB4FDF">
              <w:rPr>
                <w:color w:val="000000"/>
              </w:rPr>
              <w:t>842</w:t>
            </w:r>
          </w:p>
        </w:tc>
        <w:tc>
          <w:tcPr>
            <w:tcW w:w="207" w:type="pct"/>
            <w:tcBorders>
              <w:top w:val="nil"/>
              <w:left w:val="nil"/>
              <w:right w:val="nil"/>
            </w:tcBorders>
          </w:tcPr>
          <w:p w14:paraId="7C6D3FB0" w14:textId="77777777" w:rsidR="005A108E" w:rsidRPr="00DB4FDF" w:rsidRDefault="005A108E" w:rsidP="00245694">
            <w:pPr>
              <w:pStyle w:val="Tabletext"/>
              <w:rPr>
                <w:color w:val="000000"/>
              </w:rPr>
            </w:pPr>
          </w:p>
        </w:tc>
        <w:tc>
          <w:tcPr>
            <w:tcW w:w="328" w:type="pct"/>
            <w:tcBorders>
              <w:top w:val="nil"/>
              <w:left w:val="nil"/>
              <w:right w:val="nil"/>
            </w:tcBorders>
            <w:shd w:val="clear" w:color="auto" w:fill="auto"/>
            <w:noWrap/>
            <w:vAlign w:val="center"/>
          </w:tcPr>
          <w:p w14:paraId="06313103" w14:textId="1BD8DBC8" w:rsidR="005A108E" w:rsidRPr="00DB4FDF" w:rsidRDefault="005A108E" w:rsidP="00245694">
            <w:pPr>
              <w:pStyle w:val="Tabletext"/>
              <w:rPr>
                <w:color w:val="000000"/>
              </w:rPr>
            </w:pPr>
            <w:r w:rsidRPr="00DB4FDF">
              <w:rPr>
                <w:color w:val="000000"/>
              </w:rPr>
              <w:t>3</w:t>
            </w:r>
            <w:r w:rsidR="00842AE4">
              <w:rPr>
                <w:color w:val="000000"/>
              </w:rPr>
              <w:t xml:space="preserve"> </w:t>
            </w:r>
            <w:r w:rsidRPr="00DB4FDF">
              <w:rPr>
                <w:color w:val="000000"/>
              </w:rPr>
              <w:t>502</w:t>
            </w:r>
          </w:p>
        </w:tc>
      </w:tr>
      <w:tr w:rsidR="008721E6" w:rsidRPr="00DB4FDF" w14:paraId="5989896D" w14:textId="77777777" w:rsidTr="008721E6">
        <w:trPr>
          <w:trHeight w:val="300"/>
        </w:trPr>
        <w:tc>
          <w:tcPr>
            <w:tcW w:w="2500" w:type="pct"/>
            <w:tcBorders>
              <w:top w:val="nil"/>
              <w:left w:val="nil"/>
              <w:right w:val="nil"/>
            </w:tcBorders>
            <w:shd w:val="clear" w:color="auto" w:fill="auto"/>
            <w:noWrap/>
            <w:vAlign w:val="center"/>
            <w:hideMark/>
          </w:tcPr>
          <w:p w14:paraId="1E629E79" w14:textId="68457785" w:rsidR="005A108E" w:rsidRPr="00DB4FDF" w:rsidRDefault="005A108E" w:rsidP="00245694">
            <w:pPr>
              <w:pStyle w:val="Tabletext"/>
              <w:rPr>
                <w:color w:val="000000"/>
              </w:rPr>
            </w:pPr>
            <w:r>
              <w:rPr>
                <w:color w:val="000000"/>
              </w:rPr>
              <w:t>Self-assessed m</w:t>
            </w:r>
            <w:r w:rsidRPr="00DB4FDF">
              <w:rPr>
                <w:color w:val="000000"/>
              </w:rPr>
              <w:t>ath</w:t>
            </w:r>
            <w:r>
              <w:rPr>
                <w:color w:val="000000"/>
              </w:rPr>
              <w:t>s competence</w:t>
            </w:r>
            <w:r w:rsidRPr="00DB4FDF">
              <w:rPr>
                <w:color w:val="000000"/>
              </w:rPr>
              <w:t xml:space="preserve"> at age 15</w:t>
            </w:r>
            <w:r w:rsidRPr="00DB4FDF">
              <w:rPr>
                <w:color w:val="000000"/>
                <w:vertAlign w:val="superscript"/>
              </w:rPr>
              <w:t xml:space="preserve">a </w:t>
            </w:r>
          </w:p>
        </w:tc>
        <w:tc>
          <w:tcPr>
            <w:tcW w:w="357" w:type="pct"/>
            <w:tcBorders>
              <w:top w:val="nil"/>
              <w:left w:val="nil"/>
              <w:right w:val="nil"/>
            </w:tcBorders>
            <w:shd w:val="clear" w:color="auto" w:fill="auto"/>
            <w:noWrap/>
            <w:vAlign w:val="center"/>
          </w:tcPr>
          <w:p w14:paraId="48664420" w14:textId="77777777" w:rsidR="005A108E" w:rsidRPr="00DB4FDF" w:rsidRDefault="005A108E" w:rsidP="00245694">
            <w:pPr>
              <w:pStyle w:val="Tabletext"/>
              <w:rPr>
                <w:color w:val="000000"/>
              </w:rPr>
            </w:pPr>
            <w:r w:rsidRPr="00DB4FDF">
              <w:rPr>
                <w:color w:val="000000"/>
              </w:rPr>
              <w:t>0.55</w:t>
            </w:r>
          </w:p>
        </w:tc>
        <w:tc>
          <w:tcPr>
            <w:tcW w:w="179" w:type="pct"/>
            <w:tcBorders>
              <w:top w:val="nil"/>
              <w:left w:val="nil"/>
              <w:right w:val="nil"/>
            </w:tcBorders>
          </w:tcPr>
          <w:p w14:paraId="165053FF" w14:textId="77777777" w:rsidR="005A108E" w:rsidRPr="00DB4FDF" w:rsidRDefault="005A108E" w:rsidP="00245694">
            <w:pPr>
              <w:pStyle w:val="Tabletext"/>
              <w:rPr>
                <w:color w:val="000000"/>
              </w:rPr>
            </w:pPr>
          </w:p>
        </w:tc>
        <w:tc>
          <w:tcPr>
            <w:tcW w:w="537" w:type="pct"/>
            <w:tcBorders>
              <w:top w:val="nil"/>
              <w:left w:val="nil"/>
              <w:right w:val="nil"/>
            </w:tcBorders>
            <w:shd w:val="clear" w:color="auto" w:fill="auto"/>
            <w:noWrap/>
            <w:vAlign w:val="center"/>
          </w:tcPr>
          <w:p w14:paraId="22B32558" w14:textId="77777777" w:rsidR="005A108E" w:rsidRPr="00DB4FDF" w:rsidRDefault="005A108E" w:rsidP="00245694">
            <w:pPr>
              <w:pStyle w:val="Tabletext"/>
              <w:rPr>
                <w:color w:val="000000"/>
              </w:rPr>
            </w:pPr>
            <w:r w:rsidRPr="00DB4FDF">
              <w:rPr>
                <w:color w:val="000000"/>
              </w:rPr>
              <w:t>0.32</w:t>
            </w:r>
          </w:p>
        </w:tc>
        <w:tc>
          <w:tcPr>
            <w:tcW w:w="178" w:type="pct"/>
            <w:tcBorders>
              <w:top w:val="nil"/>
              <w:left w:val="nil"/>
              <w:right w:val="nil"/>
            </w:tcBorders>
          </w:tcPr>
          <w:p w14:paraId="4DAC744A" w14:textId="77777777" w:rsidR="005A108E" w:rsidRPr="00DB4FDF" w:rsidRDefault="005A108E" w:rsidP="00245694">
            <w:pPr>
              <w:pStyle w:val="Tabletext"/>
              <w:rPr>
                <w:color w:val="000000"/>
              </w:rPr>
            </w:pPr>
          </w:p>
        </w:tc>
        <w:tc>
          <w:tcPr>
            <w:tcW w:w="358" w:type="pct"/>
            <w:tcBorders>
              <w:top w:val="nil"/>
              <w:left w:val="nil"/>
              <w:right w:val="nil"/>
            </w:tcBorders>
            <w:shd w:val="clear" w:color="auto" w:fill="auto"/>
            <w:noWrap/>
            <w:vAlign w:val="center"/>
          </w:tcPr>
          <w:p w14:paraId="6BF6141F" w14:textId="77777777" w:rsidR="005A108E" w:rsidRPr="00DB4FDF" w:rsidRDefault="005A108E" w:rsidP="00245694">
            <w:pPr>
              <w:pStyle w:val="Tabletext"/>
              <w:rPr>
                <w:color w:val="000000"/>
              </w:rPr>
            </w:pPr>
            <w:r w:rsidRPr="00DB4FDF">
              <w:rPr>
                <w:color w:val="000000"/>
              </w:rPr>
              <w:t>-2.12</w:t>
            </w:r>
          </w:p>
        </w:tc>
        <w:tc>
          <w:tcPr>
            <w:tcW w:w="89" w:type="pct"/>
            <w:tcBorders>
              <w:top w:val="nil"/>
              <w:left w:val="nil"/>
              <w:right w:val="nil"/>
            </w:tcBorders>
          </w:tcPr>
          <w:p w14:paraId="5A6ECFEA" w14:textId="77777777" w:rsidR="005A108E" w:rsidRPr="00DB4FDF" w:rsidRDefault="005A108E" w:rsidP="00245694">
            <w:pPr>
              <w:pStyle w:val="Tabletext"/>
              <w:rPr>
                <w:color w:val="000000"/>
              </w:rPr>
            </w:pPr>
          </w:p>
        </w:tc>
        <w:tc>
          <w:tcPr>
            <w:tcW w:w="267" w:type="pct"/>
            <w:tcBorders>
              <w:top w:val="nil"/>
              <w:left w:val="nil"/>
              <w:right w:val="nil"/>
            </w:tcBorders>
            <w:shd w:val="clear" w:color="auto" w:fill="auto"/>
            <w:noWrap/>
            <w:vAlign w:val="center"/>
          </w:tcPr>
          <w:p w14:paraId="682B1826" w14:textId="77777777" w:rsidR="005A108E" w:rsidRPr="00DB4FDF" w:rsidRDefault="005A108E" w:rsidP="00245694">
            <w:pPr>
              <w:pStyle w:val="Tabletext"/>
              <w:rPr>
                <w:color w:val="000000"/>
              </w:rPr>
            </w:pPr>
            <w:r w:rsidRPr="00DB4FDF">
              <w:rPr>
                <w:color w:val="000000"/>
              </w:rPr>
              <w:t>2.42</w:t>
            </w:r>
          </w:p>
        </w:tc>
        <w:tc>
          <w:tcPr>
            <w:tcW w:w="207" w:type="pct"/>
            <w:tcBorders>
              <w:top w:val="nil"/>
              <w:left w:val="nil"/>
              <w:right w:val="nil"/>
            </w:tcBorders>
          </w:tcPr>
          <w:p w14:paraId="584A6955" w14:textId="77777777" w:rsidR="005A108E" w:rsidRPr="00DB4FDF" w:rsidRDefault="005A108E" w:rsidP="00245694">
            <w:pPr>
              <w:pStyle w:val="Tabletext"/>
              <w:rPr>
                <w:color w:val="000000"/>
              </w:rPr>
            </w:pPr>
          </w:p>
        </w:tc>
        <w:tc>
          <w:tcPr>
            <w:tcW w:w="328" w:type="pct"/>
            <w:tcBorders>
              <w:top w:val="nil"/>
              <w:left w:val="nil"/>
              <w:right w:val="nil"/>
            </w:tcBorders>
            <w:shd w:val="clear" w:color="auto" w:fill="auto"/>
            <w:noWrap/>
            <w:vAlign w:val="center"/>
          </w:tcPr>
          <w:p w14:paraId="39B7C190" w14:textId="69744EE9" w:rsidR="005A108E" w:rsidRPr="00DB4FDF" w:rsidRDefault="005A108E" w:rsidP="00245694">
            <w:pPr>
              <w:pStyle w:val="Tabletext"/>
              <w:rPr>
                <w:color w:val="000000"/>
              </w:rPr>
            </w:pPr>
            <w:r w:rsidRPr="00DB4FDF">
              <w:rPr>
                <w:color w:val="000000"/>
              </w:rPr>
              <w:t>3</w:t>
            </w:r>
            <w:r w:rsidR="00842AE4">
              <w:rPr>
                <w:color w:val="000000"/>
              </w:rPr>
              <w:t xml:space="preserve"> </w:t>
            </w:r>
            <w:r w:rsidRPr="00DB4FDF">
              <w:rPr>
                <w:color w:val="000000"/>
              </w:rPr>
              <w:t>500</w:t>
            </w:r>
          </w:p>
        </w:tc>
      </w:tr>
      <w:tr w:rsidR="008721E6" w:rsidRPr="00DB4FDF" w14:paraId="037FA6E6" w14:textId="77777777" w:rsidTr="008721E6">
        <w:trPr>
          <w:trHeight w:val="300"/>
        </w:trPr>
        <w:tc>
          <w:tcPr>
            <w:tcW w:w="2500" w:type="pct"/>
            <w:tcBorders>
              <w:top w:val="nil"/>
              <w:left w:val="nil"/>
              <w:bottom w:val="nil"/>
              <w:right w:val="nil"/>
            </w:tcBorders>
            <w:shd w:val="clear" w:color="auto" w:fill="auto"/>
            <w:noWrap/>
            <w:vAlign w:val="center"/>
          </w:tcPr>
          <w:p w14:paraId="0C6A0BD1" w14:textId="77777777" w:rsidR="005A108E" w:rsidRPr="00DB4FDF" w:rsidRDefault="005A108E" w:rsidP="00245694">
            <w:pPr>
              <w:pStyle w:val="Tabletext"/>
              <w:rPr>
                <w:color w:val="000000"/>
              </w:rPr>
            </w:pPr>
            <w:r w:rsidRPr="00DB4FDF">
              <w:rPr>
                <w:color w:val="000000"/>
              </w:rPr>
              <w:t xml:space="preserve">Relevant subject choice in Year 12 </w:t>
            </w:r>
          </w:p>
        </w:tc>
        <w:tc>
          <w:tcPr>
            <w:tcW w:w="357" w:type="pct"/>
            <w:tcBorders>
              <w:top w:val="nil"/>
              <w:left w:val="nil"/>
              <w:bottom w:val="nil"/>
              <w:right w:val="nil"/>
            </w:tcBorders>
            <w:shd w:val="clear" w:color="auto" w:fill="auto"/>
            <w:noWrap/>
            <w:vAlign w:val="center"/>
          </w:tcPr>
          <w:p w14:paraId="5B541602" w14:textId="77777777" w:rsidR="005A108E" w:rsidRPr="00DB4FDF" w:rsidRDefault="005A108E" w:rsidP="00245694">
            <w:pPr>
              <w:pStyle w:val="Tabletext"/>
              <w:rPr>
                <w:color w:val="000000"/>
              </w:rPr>
            </w:pPr>
          </w:p>
        </w:tc>
        <w:tc>
          <w:tcPr>
            <w:tcW w:w="179" w:type="pct"/>
            <w:tcBorders>
              <w:top w:val="nil"/>
              <w:left w:val="nil"/>
              <w:bottom w:val="nil"/>
              <w:right w:val="nil"/>
            </w:tcBorders>
          </w:tcPr>
          <w:p w14:paraId="43DD36B3" w14:textId="77777777" w:rsidR="005A108E" w:rsidRPr="00DB4FDF" w:rsidRDefault="005A108E" w:rsidP="00245694">
            <w:pPr>
              <w:pStyle w:val="Tabletext"/>
              <w:rPr>
                <w:color w:val="000000"/>
              </w:rPr>
            </w:pPr>
          </w:p>
        </w:tc>
        <w:tc>
          <w:tcPr>
            <w:tcW w:w="537" w:type="pct"/>
            <w:tcBorders>
              <w:top w:val="nil"/>
              <w:left w:val="nil"/>
              <w:bottom w:val="nil"/>
              <w:right w:val="nil"/>
            </w:tcBorders>
            <w:shd w:val="clear" w:color="auto" w:fill="auto"/>
            <w:noWrap/>
            <w:vAlign w:val="center"/>
          </w:tcPr>
          <w:p w14:paraId="1888410E" w14:textId="77777777" w:rsidR="005A108E" w:rsidRPr="00DB4FDF" w:rsidRDefault="005A108E" w:rsidP="00245694">
            <w:pPr>
              <w:pStyle w:val="Tabletext"/>
              <w:rPr>
                <w:color w:val="000000"/>
              </w:rPr>
            </w:pPr>
          </w:p>
        </w:tc>
        <w:tc>
          <w:tcPr>
            <w:tcW w:w="178" w:type="pct"/>
            <w:tcBorders>
              <w:top w:val="nil"/>
              <w:left w:val="nil"/>
              <w:bottom w:val="nil"/>
              <w:right w:val="nil"/>
            </w:tcBorders>
          </w:tcPr>
          <w:p w14:paraId="3E346943" w14:textId="77777777" w:rsidR="005A108E" w:rsidRPr="00DB4FDF" w:rsidRDefault="005A108E" w:rsidP="00245694">
            <w:pPr>
              <w:pStyle w:val="Tabletext"/>
              <w:rPr>
                <w:color w:val="000000"/>
              </w:rPr>
            </w:pPr>
          </w:p>
        </w:tc>
        <w:tc>
          <w:tcPr>
            <w:tcW w:w="358" w:type="pct"/>
            <w:tcBorders>
              <w:top w:val="nil"/>
              <w:left w:val="nil"/>
              <w:bottom w:val="nil"/>
              <w:right w:val="nil"/>
            </w:tcBorders>
            <w:shd w:val="clear" w:color="auto" w:fill="auto"/>
            <w:noWrap/>
            <w:vAlign w:val="center"/>
          </w:tcPr>
          <w:p w14:paraId="7BB70B80" w14:textId="77777777" w:rsidR="005A108E" w:rsidRPr="00DB4FDF" w:rsidRDefault="005A108E" w:rsidP="00245694">
            <w:pPr>
              <w:pStyle w:val="Tabletext"/>
              <w:rPr>
                <w:color w:val="000000"/>
              </w:rPr>
            </w:pPr>
          </w:p>
        </w:tc>
        <w:tc>
          <w:tcPr>
            <w:tcW w:w="89" w:type="pct"/>
            <w:tcBorders>
              <w:top w:val="nil"/>
              <w:left w:val="nil"/>
              <w:bottom w:val="nil"/>
              <w:right w:val="nil"/>
            </w:tcBorders>
          </w:tcPr>
          <w:p w14:paraId="38411760" w14:textId="77777777" w:rsidR="005A108E" w:rsidRPr="00DB4FDF" w:rsidRDefault="005A108E" w:rsidP="00245694">
            <w:pPr>
              <w:pStyle w:val="Tabletext"/>
              <w:rPr>
                <w:color w:val="000000"/>
              </w:rPr>
            </w:pPr>
          </w:p>
        </w:tc>
        <w:tc>
          <w:tcPr>
            <w:tcW w:w="267" w:type="pct"/>
            <w:tcBorders>
              <w:top w:val="nil"/>
              <w:left w:val="nil"/>
              <w:bottom w:val="nil"/>
              <w:right w:val="nil"/>
            </w:tcBorders>
            <w:shd w:val="clear" w:color="auto" w:fill="auto"/>
            <w:noWrap/>
            <w:vAlign w:val="center"/>
          </w:tcPr>
          <w:p w14:paraId="342A8AAD" w14:textId="77777777" w:rsidR="005A108E" w:rsidRPr="00DB4FDF" w:rsidRDefault="005A108E" w:rsidP="00245694">
            <w:pPr>
              <w:pStyle w:val="Tabletext"/>
              <w:rPr>
                <w:color w:val="000000"/>
              </w:rPr>
            </w:pPr>
          </w:p>
        </w:tc>
        <w:tc>
          <w:tcPr>
            <w:tcW w:w="207" w:type="pct"/>
            <w:tcBorders>
              <w:top w:val="nil"/>
              <w:left w:val="nil"/>
              <w:bottom w:val="nil"/>
              <w:right w:val="nil"/>
            </w:tcBorders>
          </w:tcPr>
          <w:p w14:paraId="5F16EFA7" w14:textId="77777777" w:rsidR="005A108E" w:rsidRPr="00DB4FDF" w:rsidRDefault="005A108E" w:rsidP="00245694">
            <w:pPr>
              <w:pStyle w:val="Tabletext"/>
              <w:rPr>
                <w:color w:val="000000"/>
              </w:rPr>
            </w:pPr>
          </w:p>
        </w:tc>
        <w:tc>
          <w:tcPr>
            <w:tcW w:w="328" w:type="pct"/>
            <w:tcBorders>
              <w:top w:val="nil"/>
              <w:left w:val="nil"/>
              <w:bottom w:val="nil"/>
              <w:right w:val="nil"/>
            </w:tcBorders>
            <w:shd w:val="clear" w:color="auto" w:fill="auto"/>
            <w:noWrap/>
            <w:vAlign w:val="center"/>
          </w:tcPr>
          <w:p w14:paraId="0DF4CD96" w14:textId="77777777" w:rsidR="005A108E" w:rsidRPr="00DB4FDF" w:rsidRDefault="005A108E" w:rsidP="00245694">
            <w:pPr>
              <w:pStyle w:val="Tabletext"/>
              <w:rPr>
                <w:color w:val="000000"/>
              </w:rPr>
            </w:pPr>
          </w:p>
        </w:tc>
      </w:tr>
      <w:tr w:rsidR="008721E6" w:rsidRPr="00DB4FDF" w14:paraId="4221F8AD" w14:textId="77777777" w:rsidTr="008721E6">
        <w:trPr>
          <w:trHeight w:val="300"/>
        </w:trPr>
        <w:tc>
          <w:tcPr>
            <w:tcW w:w="2500" w:type="pct"/>
            <w:tcBorders>
              <w:top w:val="nil"/>
              <w:left w:val="nil"/>
              <w:right w:val="nil"/>
            </w:tcBorders>
            <w:shd w:val="clear" w:color="auto" w:fill="auto"/>
            <w:noWrap/>
            <w:vAlign w:val="center"/>
          </w:tcPr>
          <w:p w14:paraId="533269E5" w14:textId="5D8D948A" w:rsidR="005A108E" w:rsidRPr="00DB4FDF" w:rsidRDefault="005A108E" w:rsidP="00245694">
            <w:pPr>
              <w:pStyle w:val="Tabletext"/>
              <w:rPr>
                <w:color w:val="000000"/>
              </w:rPr>
            </w:pPr>
            <w:r w:rsidRPr="00DB4FDF">
              <w:rPr>
                <w:color w:val="000000"/>
              </w:rPr>
              <w:t>St</w:t>
            </w:r>
            <w:r>
              <w:rPr>
                <w:color w:val="000000"/>
              </w:rPr>
              <w:t>udied advanced maths</w:t>
            </w:r>
            <w:r w:rsidRPr="00DB4FDF">
              <w:rPr>
                <w:color w:val="000000"/>
              </w:rPr>
              <w:t xml:space="preserve"> and physical </w:t>
            </w:r>
            <w:proofErr w:type="spellStart"/>
            <w:r w:rsidRPr="00DB4FDF">
              <w:rPr>
                <w:color w:val="000000"/>
              </w:rPr>
              <w:t>science</w:t>
            </w:r>
            <w:r w:rsidRPr="00DB4FDF">
              <w:rPr>
                <w:color w:val="000000"/>
                <w:vertAlign w:val="superscript"/>
              </w:rPr>
              <w:t>a</w:t>
            </w:r>
            <w:proofErr w:type="spellEnd"/>
            <w:r w:rsidRPr="00DB4FDF">
              <w:rPr>
                <w:color w:val="000000"/>
                <w:vertAlign w:val="superscript"/>
              </w:rPr>
              <w:t xml:space="preserve"> </w:t>
            </w:r>
          </w:p>
        </w:tc>
        <w:tc>
          <w:tcPr>
            <w:tcW w:w="357" w:type="pct"/>
            <w:tcBorders>
              <w:top w:val="nil"/>
              <w:left w:val="nil"/>
              <w:right w:val="nil"/>
            </w:tcBorders>
            <w:shd w:val="clear" w:color="auto" w:fill="auto"/>
            <w:noWrap/>
            <w:vAlign w:val="center"/>
          </w:tcPr>
          <w:p w14:paraId="501553B4" w14:textId="77777777" w:rsidR="005A108E" w:rsidRPr="00DB4FDF" w:rsidRDefault="005A108E" w:rsidP="00245694">
            <w:pPr>
              <w:pStyle w:val="Tabletext"/>
              <w:rPr>
                <w:color w:val="000000"/>
              </w:rPr>
            </w:pPr>
            <w:r w:rsidRPr="00DB4FDF">
              <w:rPr>
                <w:color w:val="000000"/>
              </w:rPr>
              <w:t>0.18</w:t>
            </w:r>
          </w:p>
        </w:tc>
        <w:tc>
          <w:tcPr>
            <w:tcW w:w="179" w:type="pct"/>
            <w:tcBorders>
              <w:top w:val="nil"/>
              <w:left w:val="nil"/>
              <w:right w:val="nil"/>
            </w:tcBorders>
          </w:tcPr>
          <w:p w14:paraId="5D38EE3D" w14:textId="77777777" w:rsidR="005A108E" w:rsidRPr="00DB4FDF" w:rsidRDefault="005A108E" w:rsidP="00245694">
            <w:pPr>
              <w:pStyle w:val="Tabletext"/>
              <w:rPr>
                <w:color w:val="000000"/>
              </w:rPr>
            </w:pPr>
          </w:p>
        </w:tc>
        <w:tc>
          <w:tcPr>
            <w:tcW w:w="537" w:type="pct"/>
            <w:tcBorders>
              <w:top w:val="nil"/>
              <w:left w:val="nil"/>
              <w:right w:val="nil"/>
            </w:tcBorders>
            <w:shd w:val="clear" w:color="auto" w:fill="auto"/>
            <w:noWrap/>
            <w:vAlign w:val="center"/>
          </w:tcPr>
          <w:p w14:paraId="6C188FCC" w14:textId="77777777" w:rsidR="005A108E" w:rsidRPr="00DB4FDF" w:rsidRDefault="005A108E" w:rsidP="00245694">
            <w:pPr>
              <w:pStyle w:val="Tabletext"/>
              <w:rPr>
                <w:color w:val="000000"/>
              </w:rPr>
            </w:pPr>
            <w:r w:rsidRPr="00DB4FDF">
              <w:rPr>
                <w:color w:val="000000"/>
              </w:rPr>
              <w:t>0.10</w:t>
            </w:r>
          </w:p>
        </w:tc>
        <w:tc>
          <w:tcPr>
            <w:tcW w:w="178" w:type="pct"/>
            <w:tcBorders>
              <w:top w:val="nil"/>
              <w:left w:val="nil"/>
              <w:right w:val="nil"/>
            </w:tcBorders>
          </w:tcPr>
          <w:p w14:paraId="055165B2" w14:textId="77777777" w:rsidR="005A108E" w:rsidRPr="00DB4FDF" w:rsidRDefault="005A108E" w:rsidP="00245694">
            <w:pPr>
              <w:pStyle w:val="Tabletext"/>
              <w:rPr>
                <w:color w:val="000000"/>
              </w:rPr>
            </w:pPr>
          </w:p>
        </w:tc>
        <w:tc>
          <w:tcPr>
            <w:tcW w:w="358" w:type="pct"/>
            <w:tcBorders>
              <w:top w:val="nil"/>
              <w:left w:val="nil"/>
              <w:right w:val="nil"/>
            </w:tcBorders>
            <w:shd w:val="clear" w:color="auto" w:fill="auto"/>
            <w:noWrap/>
            <w:vAlign w:val="center"/>
          </w:tcPr>
          <w:p w14:paraId="1EB71663" w14:textId="77777777" w:rsidR="005A108E" w:rsidRPr="00DB4FDF" w:rsidRDefault="005A108E" w:rsidP="00245694">
            <w:pPr>
              <w:pStyle w:val="Tabletext"/>
              <w:rPr>
                <w:color w:val="000000"/>
              </w:rPr>
            </w:pPr>
            <w:r w:rsidRPr="00DB4FDF">
              <w:rPr>
                <w:color w:val="000000"/>
              </w:rPr>
              <w:t>0</w:t>
            </w:r>
          </w:p>
        </w:tc>
        <w:tc>
          <w:tcPr>
            <w:tcW w:w="89" w:type="pct"/>
            <w:tcBorders>
              <w:top w:val="nil"/>
              <w:left w:val="nil"/>
              <w:right w:val="nil"/>
            </w:tcBorders>
          </w:tcPr>
          <w:p w14:paraId="70E29AB2" w14:textId="77777777" w:rsidR="005A108E" w:rsidRPr="00DB4FDF" w:rsidRDefault="005A108E" w:rsidP="00245694">
            <w:pPr>
              <w:pStyle w:val="Tabletext"/>
              <w:rPr>
                <w:color w:val="000000"/>
              </w:rPr>
            </w:pPr>
          </w:p>
        </w:tc>
        <w:tc>
          <w:tcPr>
            <w:tcW w:w="267" w:type="pct"/>
            <w:tcBorders>
              <w:top w:val="nil"/>
              <w:left w:val="nil"/>
              <w:right w:val="nil"/>
            </w:tcBorders>
            <w:shd w:val="clear" w:color="auto" w:fill="auto"/>
            <w:noWrap/>
            <w:vAlign w:val="center"/>
          </w:tcPr>
          <w:p w14:paraId="40558A7C" w14:textId="77777777" w:rsidR="005A108E" w:rsidRPr="00DB4FDF" w:rsidRDefault="005A108E" w:rsidP="00245694">
            <w:pPr>
              <w:pStyle w:val="Tabletext"/>
              <w:rPr>
                <w:color w:val="000000"/>
              </w:rPr>
            </w:pPr>
            <w:r w:rsidRPr="00DB4FDF">
              <w:rPr>
                <w:color w:val="000000"/>
              </w:rPr>
              <w:t>1</w:t>
            </w:r>
          </w:p>
        </w:tc>
        <w:tc>
          <w:tcPr>
            <w:tcW w:w="207" w:type="pct"/>
            <w:tcBorders>
              <w:top w:val="nil"/>
              <w:left w:val="nil"/>
              <w:right w:val="nil"/>
            </w:tcBorders>
          </w:tcPr>
          <w:p w14:paraId="2CAE9F93" w14:textId="77777777" w:rsidR="005A108E" w:rsidRPr="00DB4FDF" w:rsidRDefault="005A108E" w:rsidP="00245694">
            <w:pPr>
              <w:pStyle w:val="Tabletext"/>
              <w:rPr>
                <w:color w:val="000000"/>
              </w:rPr>
            </w:pPr>
          </w:p>
        </w:tc>
        <w:tc>
          <w:tcPr>
            <w:tcW w:w="328" w:type="pct"/>
            <w:tcBorders>
              <w:top w:val="nil"/>
              <w:left w:val="nil"/>
              <w:right w:val="nil"/>
            </w:tcBorders>
            <w:shd w:val="clear" w:color="auto" w:fill="auto"/>
            <w:noWrap/>
            <w:vAlign w:val="center"/>
          </w:tcPr>
          <w:p w14:paraId="422C8CCA" w14:textId="2E0436E2" w:rsidR="005A108E" w:rsidRPr="00DB4FDF" w:rsidRDefault="005A108E" w:rsidP="00245694">
            <w:pPr>
              <w:pStyle w:val="Tabletext"/>
              <w:rPr>
                <w:color w:val="000000"/>
              </w:rPr>
            </w:pPr>
            <w:r w:rsidRPr="00DB4FDF">
              <w:rPr>
                <w:color w:val="000000"/>
              </w:rPr>
              <w:t>3</w:t>
            </w:r>
            <w:r w:rsidR="00842AE4">
              <w:rPr>
                <w:color w:val="000000"/>
              </w:rPr>
              <w:t xml:space="preserve"> </w:t>
            </w:r>
            <w:r w:rsidRPr="00DB4FDF">
              <w:rPr>
                <w:color w:val="000000"/>
              </w:rPr>
              <w:t>229</w:t>
            </w:r>
          </w:p>
        </w:tc>
      </w:tr>
      <w:tr w:rsidR="008721E6" w:rsidRPr="00DB4FDF" w14:paraId="5A2C14BD" w14:textId="77777777" w:rsidTr="008721E6">
        <w:trPr>
          <w:trHeight w:val="300"/>
        </w:trPr>
        <w:tc>
          <w:tcPr>
            <w:tcW w:w="2500" w:type="pct"/>
            <w:tcBorders>
              <w:top w:val="nil"/>
              <w:left w:val="nil"/>
              <w:right w:val="nil"/>
            </w:tcBorders>
            <w:shd w:val="clear" w:color="auto" w:fill="auto"/>
            <w:noWrap/>
            <w:vAlign w:val="center"/>
            <w:hideMark/>
          </w:tcPr>
          <w:p w14:paraId="2C4DCFC7" w14:textId="77777777" w:rsidR="005A108E" w:rsidRPr="00DB4FDF" w:rsidRDefault="005A108E" w:rsidP="00245694">
            <w:pPr>
              <w:pStyle w:val="Tabletext"/>
              <w:rPr>
                <w:color w:val="000000"/>
              </w:rPr>
            </w:pPr>
            <w:r w:rsidRPr="00DB4FDF">
              <w:rPr>
                <w:color w:val="000000"/>
              </w:rPr>
              <w:t>Studied physical science only</w:t>
            </w:r>
          </w:p>
        </w:tc>
        <w:tc>
          <w:tcPr>
            <w:tcW w:w="357" w:type="pct"/>
            <w:tcBorders>
              <w:top w:val="nil"/>
              <w:left w:val="nil"/>
              <w:right w:val="nil"/>
            </w:tcBorders>
            <w:shd w:val="clear" w:color="auto" w:fill="auto"/>
            <w:noWrap/>
            <w:vAlign w:val="center"/>
          </w:tcPr>
          <w:p w14:paraId="4028D158" w14:textId="77777777" w:rsidR="005A108E" w:rsidRPr="00DB4FDF" w:rsidRDefault="005A108E" w:rsidP="00245694">
            <w:pPr>
              <w:pStyle w:val="Tabletext"/>
              <w:rPr>
                <w:color w:val="000000"/>
              </w:rPr>
            </w:pPr>
            <w:r w:rsidRPr="00DB4FDF">
              <w:rPr>
                <w:color w:val="000000"/>
              </w:rPr>
              <w:t>0.26</w:t>
            </w:r>
          </w:p>
        </w:tc>
        <w:tc>
          <w:tcPr>
            <w:tcW w:w="179" w:type="pct"/>
            <w:tcBorders>
              <w:top w:val="nil"/>
              <w:left w:val="nil"/>
              <w:right w:val="nil"/>
            </w:tcBorders>
          </w:tcPr>
          <w:p w14:paraId="78F404D1" w14:textId="77777777" w:rsidR="005A108E" w:rsidRPr="00DB4FDF" w:rsidRDefault="005A108E" w:rsidP="00245694">
            <w:pPr>
              <w:pStyle w:val="Tabletext"/>
              <w:rPr>
                <w:color w:val="000000"/>
              </w:rPr>
            </w:pPr>
          </w:p>
        </w:tc>
        <w:tc>
          <w:tcPr>
            <w:tcW w:w="537" w:type="pct"/>
            <w:tcBorders>
              <w:top w:val="nil"/>
              <w:left w:val="nil"/>
              <w:right w:val="nil"/>
            </w:tcBorders>
            <w:shd w:val="clear" w:color="auto" w:fill="auto"/>
            <w:noWrap/>
            <w:vAlign w:val="center"/>
          </w:tcPr>
          <w:p w14:paraId="4469BCB0" w14:textId="77777777" w:rsidR="005A108E" w:rsidRPr="00DB4FDF" w:rsidRDefault="005A108E" w:rsidP="00245694">
            <w:pPr>
              <w:pStyle w:val="Tabletext"/>
              <w:rPr>
                <w:color w:val="000000"/>
              </w:rPr>
            </w:pPr>
            <w:r w:rsidRPr="00DB4FDF">
              <w:rPr>
                <w:color w:val="000000"/>
              </w:rPr>
              <w:t>0.23</w:t>
            </w:r>
          </w:p>
        </w:tc>
        <w:tc>
          <w:tcPr>
            <w:tcW w:w="178" w:type="pct"/>
            <w:tcBorders>
              <w:top w:val="nil"/>
              <w:left w:val="nil"/>
              <w:right w:val="nil"/>
            </w:tcBorders>
          </w:tcPr>
          <w:p w14:paraId="27788208" w14:textId="77777777" w:rsidR="005A108E" w:rsidRPr="00DB4FDF" w:rsidRDefault="005A108E" w:rsidP="00245694">
            <w:pPr>
              <w:pStyle w:val="Tabletext"/>
              <w:rPr>
                <w:color w:val="000000"/>
              </w:rPr>
            </w:pPr>
          </w:p>
        </w:tc>
        <w:tc>
          <w:tcPr>
            <w:tcW w:w="358" w:type="pct"/>
            <w:tcBorders>
              <w:top w:val="nil"/>
              <w:left w:val="nil"/>
              <w:right w:val="nil"/>
            </w:tcBorders>
            <w:shd w:val="clear" w:color="auto" w:fill="auto"/>
            <w:noWrap/>
            <w:vAlign w:val="center"/>
          </w:tcPr>
          <w:p w14:paraId="55213B6E" w14:textId="77777777" w:rsidR="005A108E" w:rsidRPr="00DB4FDF" w:rsidRDefault="005A108E" w:rsidP="00245694">
            <w:pPr>
              <w:pStyle w:val="Tabletext"/>
              <w:rPr>
                <w:color w:val="000000"/>
              </w:rPr>
            </w:pPr>
            <w:r w:rsidRPr="00DB4FDF">
              <w:rPr>
                <w:color w:val="000000"/>
              </w:rPr>
              <w:t>0</w:t>
            </w:r>
          </w:p>
        </w:tc>
        <w:tc>
          <w:tcPr>
            <w:tcW w:w="89" w:type="pct"/>
            <w:tcBorders>
              <w:top w:val="nil"/>
              <w:left w:val="nil"/>
              <w:right w:val="nil"/>
            </w:tcBorders>
          </w:tcPr>
          <w:p w14:paraId="76F1D295" w14:textId="77777777" w:rsidR="005A108E" w:rsidRPr="00DB4FDF" w:rsidRDefault="005A108E" w:rsidP="00245694">
            <w:pPr>
              <w:pStyle w:val="Tabletext"/>
              <w:rPr>
                <w:color w:val="000000"/>
              </w:rPr>
            </w:pPr>
          </w:p>
        </w:tc>
        <w:tc>
          <w:tcPr>
            <w:tcW w:w="267" w:type="pct"/>
            <w:tcBorders>
              <w:top w:val="nil"/>
              <w:left w:val="nil"/>
              <w:right w:val="nil"/>
            </w:tcBorders>
            <w:shd w:val="clear" w:color="auto" w:fill="auto"/>
            <w:noWrap/>
            <w:vAlign w:val="center"/>
          </w:tcPr>
          <w:p w14:paraId="3628A659" w14:textId="77777777" w:rsidR="005A108E" w:rsidRPr="00DB4FDF" w:rsidRDefault="005A108E" w:rsidP="00245694">
            <w:pPr>
              <w:pStyle w:val="Tabletext"/>
              <w:rPr>
                <w:color w:val="000000"/>
              </w:rPr>
            </w:pPr>
            <w:r w:rsidRPr="00DB4FDF">
              <w:rPr>
                <w:color w:val="000000"/>
              </w:rPr>
              <w:t>1</w:t>
            </w:r>
          </w:p>
        </w:tc>
        <w:tc>
          <w:tcPr>
            <w:tcW w:w="207" w:type="pct"/>
            <w:tcBorders>
              <w:top w:val="nil"/>
              <w:left w:val="nil"/>
              <w:right w:val="nil"/>
            </w:tcBorders>
          </w:tcPr>
          <w:p w14:paraId="508286DD" w14:textId="77777777" w:rsidR="005A108E" w:rsidRPr="00DB4FDF" w:rsidRDefault="005A108E" w:rsidP="00245694">
            <w:pPr>
              <w:pStyle w:val="Tabletext"/>
              <w:rPr>
                <w:color w:val="000000"/>
              </w:rPr>
            </w:pPr>
          </w:p>
        </w:tc>
        <w:tc>
          <w:tcPr>
            <w:tcW w:w="328" w:type="pct"/>
            <w:tcBorders>
              <w:top w:val="nil"/>
              <w:left w:val="nil"/>
              <w:right w:val="nil"/>
            </w:tcBorders>
            <w:shd w:val="clear" w:color="auto" w:fill="auto"/>
            <w:noWrap/>
            <w:vAlign w:val="center"/>
          </w:tcPr>
          <w:p w14:paraId="3A7CA0A8" w14:textId="72BA47B4" w:rsidR="005A108E" w:rsidRPr="00DB4FDF" w:rsidRDefault="005A108E" w:rsidP="00245694">
            <w:pPr>
              <w:pStyle w:val="Tabletext"/>
              <w:rPr>
                <w:color w:val="000000"/>
              </w:rPr>
            </w:pPr>
            <w:r w:rsidRPr="00DB4FDF">
              <w:rPr>
                <w:color w:val="000000"/>
              </w:rPr>
              <w:t>3</w:t>
            </w:r>
            <w:r w:rsidR="00842AE4">
              <w:rPr>
                <w:color w:val="000000"/>
              </w:rPr>
              <w:t xml:space="preserve"> </w:t>
            </w:r>
            <w:r w:rsidRPr="00DB4FDF">
              <w:rPr>
                <w:color w:val="000000"/>
              </w:rPr>
              <w:t>229</w:t>
            </w:r>
          </w:p>
        </w:tc>
      </w:tr>
      <w:tr w:rsidR="008721E6" w:rsidRPr="00DB4FDF" w14:paraId="55AD1CC1" w14:textId="77777777" w:rsidTr="00D6399F">
        <w:trPr>
          <w:trHeight w:val="300"/>
        </w:trPr>
        <w:tc>
          <w:tcPr>
            <w:tcW w:w="2500" w:type="pct"/>
            <w:tcBorders>
              <w:top w:val="nil"/>
              <w:left w:val="nil"/>
              <w:bottom w:val="single" w:sz="6" w:space="0" w:color="auto"/>
              <w:right w:val="nil"/>
            </w:tcBorders>
            <w:shd w:val="clear" w:color="auto" w:fill="auto"/>
            <w:noWrap/>
            <w:vAlign w:val="center"/>
          </w:tcPr>
          <w:p w14:paraId="682469FA" w14:textId="77777777" w:rsidR="005A108E" w:rsidRPr="00DB4FDF" w:rsidRDefault="005A108E" w:rsidP="00245694">
            <w:pPr>
              <w:pStyle w:val="Tabletext"/>
              <w:rPr>
                <w:color w:val="000000"/>
              </w:rPr>
            </w:pPr>
            <w:r>
              <w:rPr>
                <w:color w:val="000000"/>
              </w:rPr>
              <w:t>Studied advanced math</w:t>
            </w:r>
            <w:r w:rsidRPr="00DB4FDF">
              <w:rPr>
                <w:color w:val="000000"/>
              </w:rPr>
              <w:t xml:space="preserve">s only </w:t>
            </w:r>
          </w:p>
        </w:tc>
        <w:tc>
          <w:tcPr>
            <w:tcW w:w="357" w:type="pct"/>
            <w:tcBorders>
              <w:top w:val="nil"/>
              <w:left w:val="nil"/>
              <w:bottom w:val="single" w:sz="6" w:space="0" w:color="auto"/>
              <w:right w:val="nil"/>
            </w:tcBorders>
            <w:shd w:val="clear" w:color="auto" w:fill="auto"/>
            <w:noWrap/>
            <w:vAlign w:val="center"/>
          </w:tcPr>
          <w:p w14:paraId="58029B6C" w14:textId="77777777" w:rsidR="005A108E" w:rsidRPr="00DB4FDF" w:rsidRDefault="005A108E" w:rsidP="00245694">
            <w:pPr>
              <w:pStyle w:val="Tabletext"/>
              <w:rPr>
                <w:color w:val="000000"/>
              </w:rPr>
            </w:pPr>
            <w:r w:rsidRPr="00DB4FDF">
              <w:rPr>
                <w:color w:val="000000"/>
              </w:rPr>
              <w:t>0.04</w:t>
            </w:r>
          </w:p>
        </w:tc>
        <w:tc>
          <w:tcPr>
            <w:tcW w:w="179" w:type="pct"/>
            <w:tcBorders>
              <w:top w:val="nil"/>
              <w:left w:val="nil"/>
              <w:bottom w:val="single" w:sz="6" w:space="0" w:color="auto"/>
              <w:right w:val="nil"/>
            </w:tcBorders>
          </w:tcPr>
          <w:p w14:paraId="771164E2" w14:textId="77777777" w:rsidR="005A108E" w:rsidRPr="00DB4FDF" w:rsidRDefault="005A108E" w:rsidP="00245694">
            <w:pPr>
              <w:pStyle w:val="Tabletext"/>
              <w:rPr>
                <w:color w:val="000000"/>
              </w:rPr>
            </w:pPr>
          </w:p>
        </w:tc>
        <w:tc>
          <w:tcPr>
            <w:tcW w:w="537" w:type="pct"/>
            <w:tcBorders>
              <w:top w:val="nil"/>
              <w:left w:val="nil"/>
              <w:bottom w:val="single" w:sz="6" w:space="0" w:color="auto"/>
              <w:right w:val="nil"/>
            </w:tcBorders>
            <w:shd w:val="clear" w:color="auto" w:fill="auto"/>
            <w:noWrap/>
            <w:vAlign w:val="center"/>
          </w:tcPr>
          <w:p w14:paraId="71582C75" w14:textId="77777777" w:rsidR="005A108E" w:rsidRPr="00DB4FDF" w:rsidRDefault="005A108E" w:rsidP="00245694">
            <w:pPr>
              <w:pStyle w:val="Tabletext"/>
              <w:rPr>
                <w:color w:val="000000"/>
              </w:rPr>
            </w:pPr>
            <w:r w:rsidRPr="00DB4FDF">
              <w:rPr>
                <w:color w:val="000000"/>
              </w:rPr>
              <w:t>0.03</w:t>
            </w:r>
          </w:p>
        </w:tc>
        <w:tc>
          <w:tcPr>
            <w:tcW w:w="178" w:type="pct"/>
            <w:tcBorders>
              <w:top w:val="nil"/>
              <w:left w:val="nil"/>
              <w:bottom w:val="single" w:sz="6" w:space="0" w:color="auto"/>
              <w:right w:val="nil"/>
            </w:tcBorders>
          </w:tcPr>
          <w:p w14:paraId="5EAE762B" w14:textId="77777777" w:rsidR="005A108E" w:rsidRPr="00DB4FDF" w:rsidRDefault="005A108E" w:rsidP="00245694">
            <w:pPr>
              <w:pStyle w:val="Tabletext"/>
              <w:rPr>
                <w:color w:val="000000"/>
              </w:rPr>
            </w:pPr>
          </w:p>
        </w:tc>
        <w:tc>
          <w:tcPr>
            <w:tcW w:w="358" w:type="pct"/>
            <w:tcBorders>
              <w:top w:val="nil"/>
              <w:left w:val="nil"/>
              <w:bottom w:val="single" w:sz="6" w:space="0" w:color="auto"/>
              <w:right w:val="nil"/>
            </w:tcBorders>
            <w:shd w:val="clear" w:color="auto" w:fill="auto"/>
            <w:noWrap/>
            <w:vAlign w:val="center"/>
          </w:tcPr>
          <w:p w14:paraId="65F83E97" w14:textId="77777777" w:rsidR="005A108E" w:rsidRPr="00DB4FDF" w:rsidRDefault="005A108E" w:rsidP="00245694">
            <w:pPr>
              <w:pStyle w:val="Tabletext"/>
              <w:rPr>
                <w:color w:val="000000"/>
              </w:rPr>
            </w:pPr>
            <w:r w:rsidRPr="00DB4FDF">
              <w:rPr>
                <w:color w:val="000000"/>
              </w:rPr>
              <w:t>0</w:t>
            </w:r>
          </w:p>
        </w:tc>
        <w:tc>
          <w:tcPr>
            <w:tcW w:w="89" w:type="pct"/>
            <w:tcBorders>
              <w:top w:val="nil"/>
              <w:left w:val="nil"/>
              <w:bottom w:val="single" w:sz="6" w:space="0" w:color="auto"/>
              <w:right w:val="nil"/>
            </w:tcBorders>
          </w:tcPr>
          <w:p w14:paraId="7F860111" w14:textId="77777777" w:rsidR="005A108E" w:rsidRPr="00DB4FDF" w:rsidRDefault="005A108E" w:rsidP="00245694">
            <w:pPr>
              <w:pStyle w:val="Tabletext"/>
              <w:rPr>
                <w:color w:val="000000"/>
              </w:rPr>
            </w:pPr>
          </w:p>
        </w:tc>
        <w:tc>
          <w:tcPr>
            <w:tcW w:w="267" w:type="pct"/>
            <w:tcBorders>
              <w:top w:val="nil"/>
              <w:left w:val="nil"/>
              <w:bottom w:val="single" w:sz="6" w:space="0" w:color="auto"/>
              <w:right w:val="nil"/>
            </w:tcBorders>
            <w:shd w:val="clear" w:color="auto" w:fill="auto"/>
            <w:noWrap/>
            <w:vAlign w:val="center"/>
          </w:tcPr>
          <w:p w14:paraId="52E3DDB0" w14:textId="77777777" w:rsidR="005A108E" w:rsidRPr="00DB4FDF" w:rsidRDefault="005A108E" w:rsidP="00245694">
            <w:pPr>
              <w:pStyle w:val="Tabletext"/>
              <w:rPr>
                <w:color w:val="000000"/>
              </w:rPr>
            </w:pPr>
            <w:r w:rsidRPr="00DB4FDF">
              <w:rPr>
                <w:color w:val="000000"/>
              </w:rPr>
              <w:t>1</w:t>
            </w:r>
          </w:p>
        </w:tc>
        <w:tc>
          <w:tcPr>
            <w:tcW w:w="207" w:type="pct"/>
            <w:tcBorders>
              <w:top w:val="nil"/>
              <w:left w:val="nil"/>
              <w:bottom w:val="single" w:sz="6" w:space="0" w:color="auto"/>
              <w:right w:val="nil"/>
            </w:tcBorders>
          </w:tcPr>
          <w:p w14:paraId="0ABC942A" w14:textId="77777777" w:rsidR="005A108E" w:rsidRPr="00DB4FDF" w:rsidRDefault="005A108E" w:rsidP="00245694">
            <w:pPr>
              <w:pStyle w:val="Tabletext"/>
              <w:rPr>
                <w:color w:val="000000"/>
              </w:rPr>
            </w:pPr>
          </w:p>
        </w:tc>
        <w:tc>
          <w:tcPr>
            <w:tcW w:w="328" w:type="pct"/>
            <w:tcBorders>
              <w:top w:val="nil"/>
              <w:left w:val="nil"/>
              <w:bottom w:val="single" w:sz="6" w:space="0" w:color="auto"/>
              <w:right w:val="nil"/>
            </w:tcBorders>
            <w:shd w:val="clear" w:color="auto" w:fill="auto"/>
            <w:noWrap/>
            <w:vAlign w:val="center"/>
          </w:tcPr>
          <w:p w14:paraId="7F8CBFF5" w14:textId="6F5DA8CB" w:rsidR="005A108E" w:rsidRPr="00DB4FDF" w:rsidRDefault="005A108E" w:rsidP="00245694">
            <w:pPr>
              <w:pStyle w:val="Tabletext"/>
              <w:rPr>
                <w:color w:val="000000"/>
              </w:rPr>
            </w:pPr>
            <w:r w:rsidRPr="00DB4FDF">
              <w:rPr>
                <w:color w:val="000000"/>
              </w:rPr>
              <w:t>3</w:t>
            </w:r>
            <w:r w:rsidR="00842AE4">
              <w:rPr>
                <w:color w:val="000000"/>
              </w:rPr>
              <w:t xml:space="preserve"> </w:t>
            </w:r>
            <w:r w:rsidRPr="00DB4FDF">
              <w:rPr>
                <w:color w:val="000000"/>
              </w:rPr>
              <w:t>229</w:t>
            </w:r>
          </w:p>
        </w:tc>
      </w:tr>
    </w:tbl>
    <w:p w14:paraId="6D34F09A" w14:textId="1E155984" w:rsidR="005A108E" w:rsidRPr="00DB4FDF" w:rsidRDefault="005A108E" w:rsidP="00245694">
      <w:pPr>
        <w:pStyle w:val="Source"/>
      </w:pPr>
      <w:r w:rsidRPr="00DB4FDF">
        <w:t>Note: Weighted estimates</w:t>
      </w:r>
      <w:r w:rsidR="005050ED">
        <w:t>.</w:t>
      </w:r>
      <w:r w:rsidRPr="00DB4FDF">
        <w:t xml:space="preserve"> </w:t>
      </w:r>
    </w:p>
    <w:p w14:paraId="22FF31A4" w14:textId="77777777" w:rsidR="005A108E" w:rsidRPr="00DB4FDF" w:rsidRDefault="005A108E" w:rsidP="00245694">
      <w:pPr>
        <w:pStyle w:val="Source"/>
        <w:rPr>
          <w:color w:val="000000"/>
        </w:rPr>
      </w:pPr>
      <w:proofErr w:type="spellStart"/>
      <w:r w:rsidRPr="004E6B9E">
        <w:rPr>
          <w:color w:val="000000"/>
        </w:rPr>
        <w:t>a</w:t>
      </w:r>
      <w:proofErr w:type="spellEnd"/>
      <w:r w:rsidRPr="004E6B9E">
        <w:rPr>
          <w:color w:val="000000"/>
          <w:sz w:val="20"/>
        </w:rPr>
        <w:t xml:space="preserve"> </w:t>
      </w:r>
      <w:r w:rsidRPr="00DB4FDF">
        <w:rPr>
          <w:color w:val="000000"/>
        </w:rPr>
        <w:t xml:space="preserve">indicates that the difference between men and women is statistically significant at </w:t>
      </w:r>
      <w:r w:rsidRPr="00DB4FDF">
        <w:rPr>
          <w:i/>
          <w:color w:val="000000"/>
        </w:rPr>
        <w:t xml:space="preserve">p </w:t>
      </w:r>
      <w:r w:rsidRPr="00DB4FDF">
        <w:rPr>
          <w:color w:val="000000"/>
        </w:rPr>
        <w:t xml:space="preserve">&lt; 0.05. </w:t>
      </w:r>
    </w:p>
    <w:p w14:paraId="3320376C" w14:textId="282CB635" w:rsidR="005A108E" w:rsidRPr="00DB4FDF" w:rsidRDefault="005A108E" w:rsidP="00245694">
      <w:pPr>
        <w:pStyle w:val="Source"/>
      </w:pPr>
      <w:r w:rsidRPr="00DB4FDF">
        <w:t xml:space="preserve">Source: </w:t>
      </w:r>
      <w:r w:rsidR="00824454">
        <w:t xml:space="preserve">LSAY </w:t>
      </w:r>
      <w:r w:rsidRPr="00DB4FDF">
        <w:t>Y03</w:t>
      </w:r>
      <w:r w:rsidR="00824454">
        <w:t>.</w:t>
      </w:r>
      <w:r w:rsidRPr="00DB4FDF">
        <w:t xml:space="preserve"> </w:t>
      </w:r>
    </w:p>
    <w:p w14:paraId="75FAF1B7" w14:textId="77777777" w:rsidR="005A108E" w:rsidRDefault="005A108E" w:rsidP="005A108E">
      <w:pPr>
        <w:pStyle w:val="Heading2"/>
      </w:pPr>
      <w:bookmarkStart w:id="186" w:name="_Toc15048938"/>
      <w:bookmarkStart w:id="187" w:name="_Toc19803951"/>
      <w:r>
        <w:t>What are the relative contributions of occupational expectations, self-assessed maths competence and subject choice in Year 12 to the gender gap in university major choices?</w:t>
      </w:r>
      <w:bookmarkEnd w:id="186"/>
      <w:bookmarkEnd w:id="187"/>
    </w:p>
    <w:p w14:paraId="3717DE43" w14:textId="532BC512" w:rsidR="005A108E" w:rsidRDefault="005A108E" w:rsidP="00245694">
      <w:pPr>
        <w:pStyle w:val="Text"/>
      </w:pPr>
      <w:r>
        <w:t>To use maximum information in multivariate analyses, I used Stata 14 to impute missing values on the independent variables resulting from non</w:t>
      </w:r>
      <w:r w:rsidR="00926AB0">
        <w:t>-</w:t>
      </w:r>
      <w:r>
        <w:t xml:space="preserve">responses by chained equations. I used logistic regression models to analyse the Y03 data. I used the KHB decomposition method (Karlson, Holm &amp; Breen 2012) to identify the extent to which each of these factors </w:t>
      </w:r>
      <w:r w:rsidR="00DF1966">
        <w:t>−</w:t>
      </w:r>
      <w:r>
        <w:t xml:space="preserve"> students’ occupational expectations, self-assessed maths competence and relevant subject choice in Year 12 </w:t>
      </w:r>
      <w:r w:rsidR="00DF1966">
        <w:t>−</w:t>
      </w:r>
      <w:r>
        <w:t xml:space="preserve"> contributes to the gender gap in choosing a maths-intensive university major. For further methodological details, refer to section 5 in Law (2018).</w:t>
      </w:r>
    </w:p>
    <w:p w14:paraId="29B66FA8" w14:textId="73230484" w:rsidR="005A108E" w:rsidRDefault="005A108E" w:rsidP="00245694">
      <w:pPr>
        <w:pStyle w:val="Text"/>
      </w:pPr>
      <w:r>
        <w:t xml:space="preserve">Table </w:t>
      </w:r>
      <w:r w:rsidR="009748FA">
        <w:t xml:space="preserve">16 </w:t>
      </w:r>
      <w:r>
        <w:t>presents the results of my multivariate analysis using logistic regression and the KHB method. Controlling for students’ maths achievement at age 15</w:t>
      </w:r>
      <w:r w:rsidR="00811C17">
        <w:t xml:space="preserve"> years</w:t>
      </w:r>
      <w:r>
        <w:t>, Model 1 indicates that women are less likely to choose a maths-intensive field of study at university. With the inclusion of students’ occupational expectations, self-assessed maths competence and relevant subject choice in Year 12 in Model 2, the gender gap declines by 28</w:t>
      </w:r>
      <w:r w:rsidR="00582A54">
        <w:t>%</w:t>
      </w:r>
      <w:r>
        <w:t>.</w:t>
      </w:r>
    </w:p>
    <w:p w14:paraId="2814F920" w14:textId="77777777" w:rsidR="00B02EAA" w:rsidRDefault="00B02EAA" w:rsidP="00B02EAA">
      <w:pPr>
        <w:pStyle w:val="tabletitle0"/>
        <w:sectPr w:rsidR="00B02EAA" w:rsidSect="0010685D">
          <w:footerReference w:type="even" r:id="rId45"/>
          <w:footerReference w:type="default" r:id="rId46"/>
          <w:pgSz w:w="11907" w:h="16840" w:code="9"/>
          <w:pgMar w:top="1276" w:right="2552" w:bottom="851" w:left="1418" w:header="709" w:footer="556" w:gutter="0"/>
          <w:cols w:space="708"/>
          <w:docGrid w:linePitch="360"/>
        </w:sectPr>
      </w:pPr>
    </w:p>
    <w:p w14:paraId="56E6462A" w14:textId="7BD61E32" w:rsidR="005A108E" w:rsidRPr="00F1020F" w:rsidRDefault="005A108E" w:rsidP="00B02EAA">
      <w:pPr>
        <w:pStyle w:val="tabletitle0"/>
      </w:pPr>
      <w:bookmarkStart w:id="188" w:name="_Toc19001673"/>
      <w:r w:rsidRPr="00F1020F">
        <w:lastRenderedPageBreak/>
        <w:t xml:space="preserve">Table </w:t>
      </w:r>
      <w:r w:rsidR="009748FA">
        <w:t>16</w:t>
      </w:r>
      <w:r w:rsidRPr="00F1020F">
        <w:tab/>
        <w:t>Factors affecting enrolment in maths-intensive university degree programs: (1) coefficients from logit models and (2) percentage of the gender gap explained</w:t>
      </w:r>
      <w:bookmarkEnd w:id="188"/>
      <w:r w:rsidRPr="00F1020F">
        <w:t xml:space="preserve"> </w:t>
      </w:r>
    </w:p>
    <w:tbl>
      <w:tblPr>
        <w:tblW w:w="5000" w:type="pct"/>
        <w:tblCellMar>
          <w:left w:w="28" w:type="dxa"/>
          <w:right w:w="28" w:type="dxa"/>
        </w:tblCellMar>
        <w:tblLook w:val="04A0" w:firstRow="1" w:lastRow="0" w:firstColumn="1" w:lastColumn="0" w:noHBand="0" w:noVBand="1"/>
      </w:tblPr>
      <w:tblGrid>
        <w:gridCol w:w="4184"/>
        <w:gridCol w:w="955"/>
        <w:gridCol w:w="62"/>
        <w:gridCol w:w="828"/>
        <w:gridCol w:w="62"/>
        <w:gridCol w:w="955"/>
        <w:gridCol w:w="62"/>
        <w:gridCol w:w="829"/>
      </w:tblGrid>
      <w:tr w:rsidR="005A108E" w:rsidRPr="00833B7A" w14:paraId="4E20300F" w14:textId="77777777" w:rsidTr="00D6399F">
        <w:trPr>
          <w:trHeight w:val="315"/>
        </w:trPr>
        <w:tc>
          <w:tcPr>
            <w:tcW w:w="2637" w:type="pct"/>
            <w:tcBorders>
              <w:top w:val="single" w:sz="6" w:space="0" w:color="auto"/>
              <w:left w:val="nil"/>
              <w:right w:val="nil"/>
            </w:tcBorders>
            <w:shd w:val="clear" w:color="auto" w:fill="auto"/>
            <w:noWrap/>
            <w:vAlign w:val="center"/>
            <w:hideMark/>
          </w:tcPr>
          <w:p w14:paraId="5B1E93B2" w14:textId="77777777" w:rsidR="005A108E" w:rsidRPr="00833B7A" w:rsidRDefault="005A108E" w:rsidP="00245694">
            <w:pPr>
              <w:pStyle w:val="Tabletext"/>
            </w:pPr>
          </w:p>
        </w:tc>
        <w:tc>
          <w:tcPr>
            <w:tcW w:w="1163" w:type="pct"/>
            <w:gridSpan w:val="3"/>
            <w:tcBorders>
              <w:top w:val="single" w:sz="6" w:space="0" w:color="auto"/>
              <w:left w:val="nil"/>
              <w:right w:val="nil"/>
            </w:tcBorders>
            <w:vAlign w:val="center"/>
          </w:tcPr>
          <w:p w14:paraId="3F14F6B8" w14:textId="77777777" w:rsidR="005A108E" w:rsidRPr="008721E6" w:rsidRDefault="005A108E" w:rsidP="000F5970">
            <w:pPr>
              <w:pStyle w:val="Tabletext"/>
              <w:jc w:val="center"/>
              <w:rPr>
                <w:b/>
                <w:bCs/>
                <w:color w:val="000000"/>
              </w:rPr>
            </w:pPr>
            <w:r w:rsidRPr="008721E6">
              <w:rPr>
                <w:b/>
                <w:bCs/>
                <w:color w:val="000000"/>
              </w:rPr>
              <w:t>Model 1</w:t>
            </w:r>
          </w:p>
        </w:tc>
        <w:tc>
          <w:tcPr>
            <w:tcW w:w="37" w:type="pct"/>
            <w:tcBorders>
              <w:top w:val="single" w:sz="6" w:space="0" w:color="auto"/>
              <w:left w:val="nil"/>
              <w:bottom w:val="single" w:sz="4" w:space="0" w:color="auto"/>
              <w:right w:val="nil"/>
            </w:tcBorders>
            <w:vAlign w:val="center"/>
          </w:tcPr>
          <w:p w14:paraId="2249CFA1" w14:textId="77777777" w:rsidR="005A108E" w:rsidRPr="008721E6" w:rsidRDefault="005A108E" w:rsidP="000F5970">
            <w:pPr>
              <w:pStyle w:val="Tabletext"/>
              <w:jc w:val="center"/>
              <w:rPr>
                <w:b/>
                <w:bCs/>
                <w:color w:val="000000"/>
              </w:rPr>
            </w:pPr>
          </w:p>
        </w:tc>
        <w:tc>
          <w:tcPr>
            <w:tcW w:w="1163" w:type="pct"/>
            <w:gridSpan w:val="3"/>
            <w:tcBorders>
              <w:top w:val="single" w:sz="6" w:space="0" w:color="auto"/>
              <w:left w:val="nil"/>
              <w:bottom w:val="single" w:sz="4" w:space="0" w:color="auto"/>
              <w:right w:val="nil"/>
            </w:tcBorders>
            <w:vAlign w:val="center"/>
          </w:tcPr>
          <w:p w14:paraId="04AF24B7" w14:textId="77777777" w:rsidR="005A108E" w:rsidRPr="008721E6" w:rsidRDefault="005A108E" w:rsidP="000F5970">
            <w:pPr>
              <w:pStyle w:val="Tabletext"/>
              <w:jc w:val="center"/>
              <w:rPr>
                <w:b/>
                <w:bCs/>
                <w:color w:val="000000"/>
              </w:rPr>
            </w:pPr>
            <w:r w:rsidRPr="008721E6">
              <w:rPr>
                <w:b/>
                <w:bCs/>
                <w:color w:val="000000"/>
              </w:rPr>
              <w:t>Model 2</w:t>
            </w:r>
          </w:p>
        </w:tc>
      </w:tr>
      <w:tr w:rsidR="005A108E" w:rsidRPr="00833B7A" w14:paraId="70EB42FC" w14:textId="77777777" w:rsidTr="005A108E">
        <w:trPr>
          <w:trHeight w:val="315"/>
        </w:trPr>
        <w:tc>
          <w:tcPr>
            <w:tcW w:w="2637" w:type="pct"/>
            <w:tcBorders>
              <w:left w:val="nil"/>
              <w:bottom w:val="single" w:sz="4" w:space="0" w:color="auto"/>
              <w:right w:val="nil"/>
            </w:tcBorders>
            <w:shd w:val="clear" w:color="auto" w:fill="auto"/>
            <w:noWrap/>
            <w:vAlign w:val="center"/>
          </w:tcPr>
          <w:p w14:paraId="43E09667" w14:textId="77777777" w:rsidR="005A108E" w:rsidRPr="00833B7A" w:rsidRDefault="005A108E" w:rsidP="00245694">
            <w:pPr>
              <w:pStyle w:val="Tabletext"/>
            </w:pPr>
          </w:p>
        </w:tc>
        <w:tc>
          <w:tcPr>
            <w:tcW w:w="603" w:type="pct"/>
            <w:tcBorders>
              <w:top w:val="single" w:sz="4" w:space="0" w:color="auto"/>
              <w:left w:val="nil"/>
              <w:bottom w:val="single" w:sz="4" w:space="0" w:color="auto"/>
              <w:right w:val="nil"/>
            </w:tcBorders>
            <w:vAlign w:val="center"/>
          </w:tcPr>
          <w:p w14:paraId="19F6B6ED" w14:textId="77777777" w:rsidR="005A108E" w:rsidRPr="00833B7A" w:rsidRDefault="005A108E" w:rsidP="00245694">
            <w:pPr>
              <w:pStyle w:val="Tabletext"/>
              <w:rPr>
                <w:bCs/>
                <w:color w:val="000000"/>
              </w:rPr>
            </w:pPr>
            <w:r w:rsidRPr="00833B7A">
              <w:rPr>
                <w:bCs/>
                <w:color w:val="000000"/>
              </w:rPr>
              <w:t>Coefficient</w:t>
            </w:r>
          </w:p>
        </w:tc>
        <w:tc>
          <w:tcPr>
            <w:tcW w:w="37" w:type="pct"/>
            <w:tcBorders>
              <w:top w:val="single" w:sz="4" w:space="0" w:color="auto"/>
              <w:left w:val="nil"/>
              <w:bottom w:val="single" w:sz="4" w:space="0" w:color="auto"/>
              <w:right w:val="nil"/>
            </w:tcBorders>
          </w:tcPr>
          <w:p w14:paraId="28D45CD8" w14:textId="77777777" w:rsidR="005A108E" w:rsidRPr="00833B7A" w:rsidRDefault="005A108E" w:rsidP="00245694">
            <w:pPr>
              <w:pStyle w:val="Tabletext"/>
              <w:rPr>
                <w:bCs/>
                <w:color w:val="000000"/>
              </w:rPr>
            </w:pPr>
          </w:p>
        </w:tc>
        <w:tc>
          <w:tcPr>
            <w:tcW w:w="523" w:type="pct"/>
            <w:tcBorders>
              <w:top w:val="single" w:sz="4" w:space="0" w:color="auto"/>
              <w:left w:val="nil"/>
              <w:bottom w:val="single" w:sz="4" w:space="0" w:color="auto"/>
              <w:right w:val="nil"/>
            </w:tcBorders>
            <w:vAlign w:val="center"/>
          </w:tcPr>
          <w:p w14:paraId="75FA8D87" w14:textId="77777777" w:rsidR="005A108E" w:rsidRPr="00833B7A" w:rsidRDefault="005A108E" w:rsidP="00245694">
            <w:pPr>
              <w:pStyle w:val="Tabletext"/>
              <w:rPr>
                <w:bCs/>
                <w:color w:val="000000"/>
              </w:rPr>
            </w:pPr>
            <w:r w:rsidRPr="00833B7A">
              <w:rPr>
                <w:bCs/>
                <w:color w:val="000000"/>
              </w:rPr>
              <w:t xml:space="preserve">Standard </w:t>
            </w:r>
            <w:r w:rsidRPr="00833B7A">
              <w:rPr>
                <w:bCs/>
                <w:color w:val="000000"/>
              </w:rPr>
              <w:br/>
              <w:t>error</w:t>
            </w:r>
          </w:p>
        </w:tc>
        <w:tc>
          <w:tcPr>
            <w:tcW w:w="37" w:type="pct"/>
            <w:tcBorders>
              <w:top w:val="single" w:sz="4" w:space="0" w:color="auto"/>
              <w:left w:val="nil"/>
              <w:bottom w:val="single" w:sz="4" w:space="0" w:color="auto"/>
              <w:right w:val="nil"/>
            </w:tcBorders>
          </w:tcPr>
          <w:p w14:paraId="281463B0" w14:textId="77777777" w:rsidR="005A108E" w:rsidRPr="00833B7A" w:rsidRDefault="005A108E" w:rsidP="00245694">
            <w:pPr>
              <w:pStyle w:val="Tabletext"/>
              <w:rPr>
                <w:bCs/>
                <w:color w:val="000000"/>
              </w:rPr>
            </w:pPr>
          </w:p>
        </w:tc>
        <w:tc>
          <w:tcPr>
            <w:tcW w:w="603" w:type="pct"/>
            <w:tcBorders>
              <w:top w:val="single" w:sz="4" w:space="0" w:color="auto"/>
              <w:left w:val="nil"/>
              <w:bottom w:val="single" w:sz="4" w:space="0" w:color="auto"/>
              <w:right w:val="nil"/>
            </w:tcBorders>
            <w:vAlign w:val="center"/>
          </w:tcPr>
          <w:p w14:paraId="3141234A" w14:textId="77777777" w:rsidR="005A108E" w:rsidRPr="00833B7A" w:rsidRDefault="005A108E" w:rsidP="00245694">
            <w:pPr>
              <w:pStyle w:val="Tabletext"/>
              <w:rPr>
                <w:bCs/>
                <w:color w:val="000000"/>
              </w:rPr>
            </w:pPr>
            <w:r w:rsidRPr="00833B7A">
              <w:rPr>
                <w:bCs/>
                <w:color w:val="000000"/>
              </w:rPr>
              <w:t>Coefficient</w:t>
            </w:r>
          </w:p>
        </w:tc>
        <w:tc>
          <w:tcPr>
            <w:tcW w:w="37" w:type="pct"/>
            <w:tcBorders>
              <w:top w:val="single" w:sz="4" w:space="0" w:color="auto"/>
              <w:left w:val="nil"/>
              <w:bottom w:val="single" w:sz="4" w:space="0" w:color="auto"/>
              <w:right w:val="nil"/>
            </w:tcBorders>
          </w:tcPr>
          <w:p w14:paraId="2AF3AB3F" w14:textId="77777777" w:rsidR="005A108E" w:rsidRPr="00833B7A" w:rsidRDefault="005A108E" w:rsidP="00245694">
            <w:pPr>
              <w:pStyle w:val="Tabletext"/>
              <w:rPr>
                <w:bCs/>
                <w:color w:val="000000"/>
              </w:rPr>
            </w:pPr>
          </w:p>
        </w:tc>
        <w:tc>
          <w:tcPr>
            <w:tcW w:w="523" w:type="pct"/>
            <w:tcBorders>
              <w:top w:val="single" w:sz="4" w:space="0" w:color="auto"/>
              <w:left w:val="nil"/>
              <w:bottom w:val="single" w:sz="4" w:space="0" w:color="auto"/>
              <w:right w:val="nil"/>
            </w:tcBorders>
            <w:vAlign w:val="center"/>
          </w:tcPr>
          <w:p w14:paraId="60FD4FCD" w14:textId="77777777" w:rsidR="005A108E" w:rsidRPr="00833B7A" w:rsidRDefault="005A108E" w:rsidP="00245694">
            <w:pPr>
              <w:pStyle w:val="Tabletext"/>
              <w:rPr>
                <w:bCs/>
                <w:color w:val="000000"/>
              </w:rPr>
            </w:pPr>
            <w:r w:rsidRPr="00833B7A">
              <w:rPr>
                <w:bCs/>
                <w:color w:val="000000"/>
              </w:rPr>
              <w:t xml:space="preserve">Standard </w:t>
            </w:r>
            <w:r w:rsidRPr="00833B7A">
              <w:rPr>
                <w:bCs/>
                <w:color w:val="000000"/>
              </w:rPr>
              <w:br/>
              <w:t>error</w:t>
            </w:r>
          </w:p>
        </w:tc>
      </w:tr>
      <w:tr w:rsidR="005A108E" w:rsidRPr="00833B7A" w14:paraId="3C0896ED" w14:textId="77777777" w:rsidTr="005A108E">
        <w:trPr>
          <w:trHeight w:val="300"/>
        </w:trPr>
        <w:tc>
          <w:tcPr>
            <w:tcW w:w="2637" w:type="pct"/>
            <w:tcBorders>
              <w:top w:val="nil"/>
              <w:left w:val="nil"/>
              <w:bottom w:val="nil"/>
              <w:right w:val="nil"/>
            </w:tcBorders>
            <w:shd w:val="clear" w:color="auto" w:fill="auto"/>
            <w:noWrap/>
            <w:vAlign w:val="center"/>
          </w:tcPr>
          <w:p w14:paraId="0C75C3BF" w14:textId="77777777" w:rsidR="005A108E" w:rsidRPr="00833B7A" w:rsidRDefault="005A108E" w:rsidP="00245694">
            <w:pPr>
              <w:pStyle w:val="Tabletext"/>
              <w:rPr>
                <w:b/>
                <w:i/>
                <w:color w:val="000000"/>
              </w:rPr>
            </w:pPr>
            <w:r w:rsidRPr="00833B7A">
              <w:rPr>
                <w:b/>
                <w:i/>
                <w:color w:val="000000"/>
              </w:rPr>
              <w:t xml:space="preserve">Individual characteristics </w:t>
            </w:r>
          </w:p>
        </w:tc>
        <w:tc>
          <w:tcPr>
            <w:tcW w:w="603" w:type="pct"/>
            <w:tcBorders>
              <w:top w:val="nil"/>
              <w:left w:val="nil"/>
              <w:bottom w:val="nil"/>
              <w:right w:val="nil"/>
            </w:tcBorders>
            <w:vAlign w:val="center"/>
          </w:tcPr>
          <w:p w14:paraId="1CE33627" w14:textId="77777777" w:rsidR="005A108E" w:rsidRPr="00833B7A" w:rsidRDefault="005A108E" w:rsidP="00245694">
            <w:pPr>
              <w:pStyle w:val="Tabletext"/>
              <w:rPr>
                <w:color w:val="000000"/>
              </w:rPr>
            </w:pPr>
          </w:p>
        </w:tc>
        <w:tc>
          <w:tcPr>
            <w:tcW w:w="37" w:type="pct"/>
            <w:tcBorders>
              <w:top w:val="nil"/>
              <w:left w:val="nil"/>
              <w:bottom w:val="nil"/>
              <w:right w:val="nil"/>
            </w:tcBorders>
          </w:tcPr>
          <w:p w14:paraId="53A13FBF" w14:textId="77777777" w:rsidR="005A108E" w:rsidRPr="00833B7A" w:rsidRDefault="005A108E" w:rsidP="00245694">
            <w:pPr>
              <w:pStyle w:val="Tabletext"/>
              <w:rPr>
                <w:color w:val="000000"/>
              </w:rPr>
            </w:pPr>
          </w:p>
        </w:tc>
        <w:tc>
          <w:tcPr>
            <w:tcW w:w="523" w:type="pct"/>
            <w:tcBorders>
              <w:top w:val="nil"/>
              <w:left w:val="nil"/>
              <w:bottom w:val="nil"/>
              <w:right w:val="nil"/>
            </w:tcBorders>
            <w:vAlign w:val="center"/>
          </w:tcPr>
          <w:p w14:paraId="6C176A76" w14:textId="77777777" w:rsidR="005A108E" w:rsidRPr="00833B7A" w:rsidRDefault="005A108E" w:rsidP="00245694">
            <w:pPr>
              <w:pStyle w:val="Tabletext"/>
              <w:rPr>
                <w:color w:val="000000"/>
              </w:rPr>
            </w:pPr>
          </w:p>
        </w:tc>
        <w:tc>
          <w:tcPr>
            <w:tcW w:w="37" w:type="pct"/>
            <w:tcBorders>
              <w:top w:val="nil"/>
              <w:left w:val="nil"/>
              <w:bottom w:val="nil"/>
              <w:right w:val="nil"/>
            </w:tcBorders>
          </w:tcPr>
          <w:p w14:paraId="595C162B" w14:textId="77777777" w:rsidR="005A108E" w:rsidRPr="00833B7A" w:rsidRDefault="005A108E" w:rsidP="00245694">
            <w:pPr>
              <w:pStyle w:val="Tabletext"/>
              <w:rPr>
                <w:color w:val="000000"/>
              </w:rPr>
            </w:pPr>
          </w:p>
        </w:tc>
        <w:tc>
          <w:tcPr>
            <w:tcW w:w="603" w:type="pct"/>
            <w:tcBorders>
              <w:top w:val="nil"/>
              <w:left w:val="nil"/>
              <w:bottom w:val="nil"/>
              <w:right w:val="nil"/>
            </w:tcBorders>
            <w:vAlign w:val="center"/>
          </w:tcPr>
          <w:p w14:paraId="3CCB5FA4" w14:textId="77777777" w:rsidR="005A108E" w:rsidRPr="00833B7A" w:rsidRDefault="005A108E" w:rsidP="00245694">
            <w:pPr>
              <w:pStyle w:val="Tabletext"/>
              <w:rPr>
                <w:color w:val="000000"/>
              </w:rPr>
            </w:pPr>
          </w:p>
        </w:tc>
        <w:tc>
          <w:tcPr>
            <w:tcW w:w="37" w:type="pct"/>
            <w:tcBorders>
              <w:top w:val="nil"/>
              <w:left w:val="nil"/>
              <w:bottom w:val="nil"/>
              <w:right w:val="nil"/>
            </w:tcBorders>
          </w:tcPr>
          <w:p w14:paraId="6120DF42" w14:textId="77777777" w:rsidR="005A108E" w:rsidRPr="00833B7A" w:rsidRDefault="005A108E" w:rsidP="00245694">
            <w:pPr>
              <w:pStyle w:val="Tabletext"/>
              <w:rPr>
                <w:color w:val="000000"/>
              </w:rPr>
            </w:pPr>
          </w:p>
        </w:tc>
        <w:tc>
          <w:tcPr>
            <w:tcW w:w="523" w:type="pct"/>
            <w:tcBorders>
              <w:top w:val="nil"/>
              <w:left w:val="nil"/>
              <w:bottom w:val="nil"/>
              <w:right w:val="nil"/>
            </w:tcBorders>
            <w:vAlign w:val="center"/>
          </w:tcPr>
          <w:p w14:paraId="4521C829" w14:textId="77777777" w:rsidR="005A108E" w:rsidRPr="00833B7A" w:rsidRDefault="005A108E" w:rsidP="00245694">
            <w:pPr>
              <w:pStyle w:val="Tabletext"/>
              <w:rPr>
                <w:color w:val="000000"/>
              </w:rPr>
            </w:pPr>
          </w:p>
        </w:tc>
      </w:tr>
      <w:tr w:rsidR="005A108E" w:rsidRPr="00833B7A" w14:paraId="298E265E" w14:textId="77777777" w:rsidTr="005A108E">
        <w:trPr>
          <w:trHeight w:val="300"/>
        </w:trPr>
        <w:tc>
          <w:tcPr>
            <w:tcW w:w="2637" w:type="pct"/>
            <w:tcBorders>
              <w:top w:val="nil"/>
              <w:left w:val="nil"/>
              <w:bottom w:val="nil"/>
              <w:right w:val="nil"/>
            </w:tcBorders>
            <w:shd w:val="clear" w:color="auto" w:fill="auto"/>
            <w:noWrap/>
            <w:vAlign w:val="center"/>
          </w:tcPr>
          <w:p w14:paraId="3092C742" w14:textId="77777777" w:rsidR="005A108E" w:rsidRPr="00833B7A" w:rsidRDefault="005A108E" w:rsidP="00245694">
            <w:pPr>
              <w:pStyle w:val="Tabletext"/>
              <w:rPr>
                <w:color w:val="000000"/>
              </w:rPr>
            </w:pPr>
            <w:r w:rsidRPr="00833B7A">
              <w:rPr>
                <w:color w:val="000000"/>
              </w:rPr>
              <w:t xml:space="preserve">Gender (female) </w:t>
            </w:r>
          </w:p>
        </w:tc>
        <w:tc>
          <w:tcPr>
            <w:tcW w:w="603" w:type="pct"/>
            <w:tcBorders>
              <w:top w:val="nil"/>
              <w:left w:val="nil"/>
              <w:bottom w:val="nil"/>
              <w:right w:val="nil"/>
            </w:tcBorders>
            <w:vAlign w:val="center"/>
          </w:tcPr>
          <w:p w14:paraId="09F2FB8F" w14:textId="77777777" w:rsidR="005A108E" w:rsidRPr="00833B7A" w:rsidRDefault="005A108E" w:rsidP="00245694">
            <w:pPr>
              <w:pStyle w:val="Tabletext"/>
              <w:rPr>
                <w:color w:val="000000"/>
              </w:rPr>
            </w:pPr>
            <w:r w:rsidRPr="00833B7A">
              <w:rPr>
                <w:color w:val="000000"/>
              </w:rPr>
              <w:t xml:space="preserve">-1.595*** </w:t>
            </w:r>
          </w:p>
        </w:tc>
        <w:tc>
          <w:tcPr>
            <w:tcW w:w="37" w:type="pct"/>
            <w:tcBorders>
              <w:top w:val="nil"/>
              <w:left w:val="nil"/>
              <w:bottom w:val="nil"/>
              <w:right w:val="nil"/>
            </w:tcBorders>
          </w:tcPr>
          <w:p w14:paraId="49A9427D" w14:textId="77777777" w:rsidR="005A108E" w:rsidRPr="00833B7A" w:rsidRDefault="005A108E" w:rsidP="00245694">
            <w:pPr>
              <w:pStyle w:val="Tabletext"/>
              <w:rPr>
                <w:color w:val="000000"/>
              </w:rPr>
            </w:pPr>
          </w:p>
        </w:tc>
        <w:tc>
          <w:tcPr>
            <w:tcW w:w="523" w:type="pct"/>
            <w:tcBorders>
              <w:top w:val="nil"/>
              <w:left w:val="nil"/>
              <w:bottom w:val="nil"/>
              <w:right w:val="nil"/>
            </w:tcBorders>
            <w:vAlign w:val="center"/>
          </w:tcPr>
          <w:p w14:paraId="7D688F52" w14:textId="77777777" w:rsidR="005A108E" w:rsidRPr="00833B7A" w:rsidRDefault="005A108E" w:rsidP="00245694">
            <w:pPr>
              <w:pStyle w:val="Tabletext"/>
              <w:rPr>
                <w:color w:val="000000"/>
              </w:rPr>
            </w:pPr>
            <w:r w:rsidRPr="00833B7A">
              <w:rPr>
                <w:color w:val="000000"/>
              </w:rPr>
              <w:t>(0.113)</w:t>
            </w:r>
          </w:p>
        </w:tc>
        <w:tc>
          <w:tcPr>
            <w:tcW w:w="37" w:type="pct"/>
            <w:tcBorders>
              <w:top w:val="nil"/>
              <w:left w:val="nil"/>
              <w:bottom w:val="nil"/>
              <w:right w:val="nil"/>
            </w:tcBorders>
          </w:tcPr>
          <w:p w14:paraId="2F4F3BCB" w14:textId="77777777" w:rsidR="005A108E" w:rsidRPr="00833B7A" w:rsidRDefault="005A108E" w:rsidP="00245694">
            <w:pPr>
              <w:pStyle w:val="Tabletext"/>
              <w:rPr>
                <w:color w:val="000000"/>
              </w:rPr>
            </w:pPr>
          </w:p>
        </w:tc>
        <w:tc>
          <w:tcPr>
            <w:tcW w:w="603" w:type="pct"/>
            <w:tcBorders>
              <w:top w:val="nil"/>
              <w:left w:val="nil"/>
              <w:bottom w:val="nil"/>
              <w:right w:val="nil"/>
            </w:tcBorders>
            <w:vAlign w:val="center"/>
          </w:tcPr>
          <w:p w14:paraId="0DB5B018" w14:textId="77777777" w:rsidR="005A108E" w:rsidRPr="00833B7A" w:rsidRDefault="005A108E" w:rsidP="00245694">
            <w:pPr>
              <w:pStyle w:val="Tabletext"/>
              <w:rPr>
                <w:color w:val="000000"/>
              </w:rPr>
            </w:pPr>
            <w:r w:rsidRPr="00833B7A">
              <w:rPr>
                <w:color w:val="000000"/>
              </w:rPr>
              <w:t>-1.192***</w:t>
            </w:r>
          </w:p>
        </w:tc>
        <w:tc>
          <w:tcPr>
            <w:tcW w:w="37" w:type="pct"/>
            <w:tcBorders>
              <w:top w:val="nil"/>
              <w:left w:val="nil"/>
              <w:bottom w:val="nil"/>
              <w:right w:val="nil"/>
            </w:tcBorders>
          </w:tcPr>
          <w:p w14:paraId="0E3137ED" w14:textId="77777777" w:rsidR="005A108E" w:rsidRPr="00833B7A" w:rsidRDefault="005A108E" w:rsidP="00245694">
            <w:pPr>
              <w:pStyle w:val="Tabletext"/>
              <w:rPr>
                <w:color w:val="000000"/>
              </w:rPr>
            </w:pPr>
          </w:p>
        </w:tc>
        <w:tc>
          <w:tcPr>
            <w:tcW w:w="523" w:type="pct"/>
            <w:tcBorders>
              <w:top w:val="nil"/>
              <w:left w:val="nil"/>
              <w:bottom w:val="nil"/>
              <w:right w:val="nil"/>
            </w:tcBorders>
            <w:vAlign w:val="center"/>
          </w:tcPr>
          <w:p w14:paraId="113B4336" w14:textId="77777777" w:rsidR="005A108E" w:rsidRPr="00833B7A" w:rsidRDefault="005A108E" w:rsidP="00245694">
            <w:pPr>
              <w:pStyle w:val="Tabletext"/>
              <w:rPr>
                <w:color w:val="000000"/>
              </w:rPr>
            </w:pPr>
            <w:r w:rsidRPr="00833B7A">
              <w:rPr>
                <w:color w:val="000000"/>
              </w:rPr>
              <w:t>(0.119)</w:t>
            </w:r>
          </w:p>
        </w:tc>
      </w:tr>
      <w:tr w:rsidR="005A108E" w:rsidRPr="00833B7A" w14:paraId="39BEA15D" w14:textId="77777777" w:rsidTr="005A108E">
        <w:trPr>
          <w:trHeight w:val="300"/>
        </w:trPr>
        <w:tc>
          <w:tcPr>
            <w:tcW w:w="2637" w:type="pct"/>
            <w:tcBorders>
              <w:top w:val="nil"/>
              <w:left w:val="nil"/>
              <w:right w:val="nil"/>
            </w:tcBorders>
            <w:shd w:val="clear" w:color="auto" w:fill="auto"/>
            <w:noWrap/>
            <w:vAlign w:val="center"/>
          </w:tcPr>
          <w:p w14:paraId="4D629D05" w14:textId="77777777" w:rsidR="005A108E" w:rsidRPr="00833B7A" w:rsidRDefault="005A108E" w:rsidP="00245694">
            <w:pPr>
              <w:pStyle w:val="Tabletext"/>
              <w:rPr>
                <w:color w:val="000000"/>
              </w:rPr>
            </w:pPr>
            <w:r>
              <w:rPr>
                <w:color w:val="000000"/>
              </w:rPr>
              <w:t>Math</w:t>
            </w:r>
            <w:r w:rsidRPr="00833B7A">
              <w:rPr>
                <w:color w:val="000000"/>
              </w:rPr>
              <w:t xml:space="preserve">s achievement at age 15 </w:t>
            </w:r>
          </w:p>
        </w:tc>
        <w:tc>
          <w:tcPr>
            <w:tcW w:w="603" w:type="pct"/>
            <w:tcBorders>
              <w:top w:val="nil"/>
              <w:left w:val="nil"/>
              <w:right w:val="nil"/>
            </w:tcBorders>
            <w:vAlign w:val="center"/>
          </w:tcPr>
          <w:p w14:paraId="5B2E9D7C" w14:textId="77777777" w:rsidR="005A108E" w:rsidRPr="00833B7A" w:rsidRDefault="005A108E" w:rsidP="00245694">
            <w:pPr>
              <w:pStyle w:val="Tabletext"/>
              <w:rPr>
                <w:color w:val="000000"/>
              </w:rPr>
            </w:pPr>
            <w:r w:rsidRPr="00833B7A">
              <w:rPr>
                <w:color w:val="000000"/>
              </w:rPr>
              <w:t>0.384***</w:t>
            </w:r>
          </w:p>
        </w:tc>
        <w:tc>
          <w:tcPr>
            <w:tcW w:w="37" w:type="pct"/>
            <w:tcBorders>
              <w:top w:val="nil"/>
              <w:left w:val="nil"/>
              <w:right w:val="nil"/>
            </w:tcBorders>
          </w:tcPr>
          <w:p w14:paraId="265C81A1" w14:textId="77777777" w:rsidR="005A108E" w:rsidRPr="00833B7A" w:rsidRDefault="005A108E" w:rsidP="00245694">
            <w:pPr>
              <w:pStyle w:val="Tabletext"/>
              <w:rPr>
                <w:color w:val="000000"/>
              </w:rPr>
            </w:pPr>
          </w:p>
        </w:tc>
        <w:tc>
          <w:tcPr>
            <w:tcW w:w="523" w:type="pct"/>
            <w:tcBorders>
              <w:top w:val="nil"/>
              <w:left w:val="nil"/>
              <w:right w:val="nil"/>
            </w:tcBorders>
            <w:vAlign w:val="center"/>
          </w:tcPr>
          <w:p w14:paraId="45E5C053" w14:textId="77777777" w:rsidR="005A108E" w:rsidRPr="00833B7A" w:rsidRDefault="005A108E" w:rsidP="00245694">
            <w:pPr>
              <w:pStyle w:val="Tabletext"/>
              <w:rPr>
                <w:color w:val="000000"/>
              </w:rPr>
            </w:pPr>
            <w:r w:rsidRPr="00833B7A">
              <w:rPr>
                <w:color w:val="000000"/>
              </w:rPr>
              <w:t>(0.066)</w:t>
            </w:r>
          </w:p>
        </w:tc>
        <w:tc>
          <w:tcPr>
            <w:tcW w:w="37" w:type="pct"/>
            <w:tcBorders>
              <w:top w:val="nil"/>
              <w:left w:val="nil"/>
              <w:right w:val="nil"/>
            </w:tcBorders>
          </w:tcPr>
          <w:p w14:paraId="1A100AE5" w14:textId="77777777" w:rsidR="005A108E" w:rsidRPr="00833B7A" w:rsidRDefault="005A108E" w:rsidP="00245694">
            <w:pPr>
              <w:pStyle w:val="Tabletext"/>
              <w:rPr>
                <w:color w:val="000000"/>
              </w:rPr>
            </w:pPr>
          </w:p>
        </w:tc>
        <w:tc>
          <w:tcPr>
            <w:tcW w:w="603" w:type="pct"/>
            <w:tcBorders>
              <w:top w:val="nil"/>
              <w:left w:val="nil"/>
              <w:right w:val="nil"/>
            </w:tcBorders>
            <w:vAlign w:val="center"/>
          </w:tcPr>
          <w:p w14:paraId="747EA564" w14:textId="77777777" w:rsidR="005A108E" w:rsidRPr="00833B7A" w:rsidRDefault="005A108E" w:rsidP="00245694">
            <w:pPr>
              <w:pStyle w:val="Tabletext"/>
              <w:rPr>
                <w:color w:val="000000"/>
              </w:rPr>
            </w:pPr>
            <w:r w:rsidRPr="00833B7A">
              <w:rPr>
                <w:color w:val="000000"/>
              </w:rPr>
              <w:t>0.044</w:t>
            </w:r>
          </w:p>
        </w:tc>
        <w:tc>
          <w:tcPr>
            <w:tcW w:w="37" w:type="pct"/>
            <w:tcBorders>
              <w:top w:val="nil"/>
              <w:left w:val="nil"/>
              <w:right w:val="nil"/>
            </w:tcBorders>
          </w:tcPr>
          <w:p w14:paraId="399BE1FE" w14:textId="77777777" w:rsidR="005A108E" w:rsidRPr="00833B7A" w:rsidRDefault="005A108E" w:rsidP="00245694">
            <w:pPr>
              <w:pStyle w:val="Tabletext"/>
              <w:rPr>
                <w:color w:val="000000"/>
              </w:rPr>
            </w:pPr>
          </w:p>
        </w:tc>
        <w:tc>
          <w:tcPr>
            <w:tcW w:w="523" w:type="pct"/>
            <w:tcBorders>
              <w:top w:val="nil"/>
              <w:left w:val="nil"/>
              <w:right w:val="nil"/>
            </w:tcBorders>
            <w:vAlign w:val="center"/>
          </w:tcPr>
          <w:p w14:paraId="2C39A012" w14:textId="77777777" w:rsidR="005A108E" w:rsidRPr="00833B7A" w:rsidRDefault="005A108E" w:rsidP="00245694">
            <w:pPr>
              <w:pStyle w:val="Tabletext"/>
              <w:rPr>
                <w:color w:val="000000"/>
              </w:rPr>
            </w:pPr>
            <w:r w:rsidRPr="00833B7A">
              <w:rPr>
                <w:color w:val="000000"/>
              </w:rPr>
              <w:t>(0.074)</w:t>
            </w:r>
          </w:p>
        </w:tc>
      </w:tr>
      <w:tr w:rsidR="005A108E" w:rsidRPr="00833B7A" w14:paraId="07B7AA97" w14:textId="77777777" w:rsidTr="005A108E">
        <w:trPr>
          <w:trHeight w:val="300"/>
        </w:trPr>
        <w:tc>
          <w:tcPr>
            <w:tcW w:w="2637" w:type="pct"/>
            <w:tcBorders>
              <w:top w:val="nil"/>
              <w:left w:val="nil"/>
              <w:right w:val="nil"/>
            </w:tcBorders>
            <w:shd w:val="clear" w:color="auto" w:fill="auto"/>
            <w:noWrap/>
            <w:vAlign w:val="center"/>
          </w:tcPr>
          <w:p w14:paraId="614149EB" w14:textId="77777777" w:rsidR="005A108E" w:rsidRPr="00833B7A" w:rsidRDefault="005A108E" w:rsidP="00245694">
            <w:pPr>
              <w:pStyle w:val="Tabletext"/>
              <w:rPr>
                <w:color w:val="000000"/>
              </w:rPr>
            </w:pPr>
            <w:r w:rsidRPr="00833B7A">
              <w:rPr>
                <w:color w:val="000000"/>
              </w:rPr>
              <w:t>Expected a math</w:t>
            </w:r>
            <w:r>
              <w:rPr>
                <w:color w:val="000000"/>
              </w:rPr>
              <w:t>s-</w:t>
            </w:r>
            <w:r w:rsidRPr="00833B7A">
              <w:rPr>
                <w:color w:val="000000"/>
              </w:rPr>
              <w:t xml:space="preserve">intensive career at age 15 </w:t>
            </w:r>
          </w:p>
        </w:tc>
        <w:tc>
          <w:tcPr>
            <w:tcW w:w="603" w:type="pct"/>
            <w:tcBorders>
              <w:top w:val="nil"/>
              <w:left w:val="nil"/>
              <w:right w:val="nil"/>
            </w:tcBorders>
            <w:vAlign w:val="center"/>
          </w:tcPr>
          <w:p w14:paraId="20BDB41C" w14:textId="77777777" w:rsidR="005A108E" w:rsidRPr="00833B7A" w:rsidRDefault="005A108E" w:rsidP="00245694">
            <w:pPr>
              <w:pStyle w:val="Tabletext"/>
              <w:rPr>
                <w:color w:val="000000"/>
              </w:rPr>
            </w:pPr>
          </w:p>
        </w:tc>
        <w:tc>
          <w:tcPr>
            <w:tcW w:w="37" w:type="pct"/>
            <w:tcBorders>
              <w:top w:val="nil"/>
              <w:left w:val="nil"/>
              <w:right w:val="nil"/>
            </w:tcBorders>
          </w:tcPr>
          <w:p w14:paraId="28B353B1" w14:textId="77777777" w:rsidR="005A108E" w:rsidRPr="00833B7A" w:rsidRDefault="005A108E" w:rsidP="00245694">
            <w:pPr>
              <w:pStyle w:val="Tabletext"/>
              <w:rPr>
                <w:color w:val="000000"/>
              </w:rPr>
            </w:pPr>
          </w:p>
        </w:tc>
        <w:tc>
          <w:tcPr>
            <w:tcW w:w="523" w:type="pct"/>
            <w:tcBorders>
              <w:top w:val="nil"/>
              <w:left w:val="nil"/>
              <w:right w:val="nil"/>
            </w:tcBorders>
            <w:vAlign w:val="center"/>
          </w:tcPr>
          <w:p w14:paraId="029E65A7" w14:textId="77777777" w:rsidR="005A108E" w:rsidRPr="00833B7A" w:rsidRDefault="005A108E" w:rsidP="00245694">
            <w:pPr>
              <w:pStyle w:val="Tabletext"/>
              <w:rPr>
                <w:color w:val="000000"/>
              </w:rPr>
            </w:pPr>
          </w:p>
        </w:tc>
        <w:tc>
          <w:tcPr>
            <w:tcW w:w="37" w:type="pct"/>
            <w:tcBorders>
              <w:top w:val="nil"/>
              <w:left w:val="nil"/>
              <w:right w:val="nil"/>
            </w:tcBorders>
          </w:tcPr>
          <w:p w14:paraId="11AE5B90" w14:textId="77777777" w:rsidR="005A108E" w:rsidRPr="00833B7A" w:rsidRDefault="005A108E" w:rsidP="00245694">
            <w:pPr>
              <w:pStyle w:val="Tabletext"/>
              <w:rPr>
                <w:color w:val="000000"/>
              </w:rPr>
            </w:pPr>
          </w:p>
        </w:tc>
        <w:tc>
          <w:tcPr>
            <w:tcW w:w="603" w:type="pct"/>
            <w:tcBorders>
              <w:top w:val="nil"/>
              <w:left w:val="nil"/>
              <w:right w:val="nil"/>
            </w:tcBorders>
            <w:vAlign w:val="center"/>
          </w:tcPr>
          <w:p w14:paraId="68FB5703" w14:textId="77777777" w:rsidR="005A108E" w:rsidRPr="00833B7A" w:rsidRDefault="005A108E" w:rsidP="00245694">
            <w:pPr>
              <w:pStyle w:val="Tabletext"/>
              <w:rPr>
                <w:color w:val="000000"/>
              </w:rPr>
            </w:pPr>
            <w:r w:rsidRPr="00833B7A">
              <w:rPr>
                <w:color w:val="000000"/>
              </w:rPr>
              <w:t>1.418***</w:t>
            </w:r>
          </w:p>
        </w:tc>
        <w:tc>
          <w:tcPr>
            <w:tcW w:w="37" w:type="pct"/>
            <w:tcBorders>
              <w:top w:val="nil"/>
              <w:left w:val="nil"/>
              <w:right w:val="nil"/>
            </w:tcBorders>
          </w:tcPr>
          <w:p w14:paraId="0D460BAC" w14:textId="77777777" w:rsidR="005A108E" w:rsidRPr="00833B7A" w:rsidRDefault="005A108E" w:rsidP="00245694">
            <w:pPr>
              <w:pStyle w:val="Tabletext"/>
              <w:rPr>
                <w:color w:val="000000"/>
              </w:rPr>
            </w:pPr>
          </w:p>
        </w:tc>
        <w:tc>
          <w:tcPr>
            <w:tcW w:w="523" w:type="pct"/>
            <w:tcBorders>
              <w:top w:val="nil"/>
              <w:left w:val="nil"/>
              <w:right w:val="nil"/>
            </w:tcBorders>
            <w:vAlign w:val="center"/>
          </w:tcPr>
          <w:p w14:paraId="533A8972" w14:textId="77777777" w:rsidR="005A108E" w:rsidRPr="00833B7A" w:rsidRDefault="005A108E" w:rsidP="00245694">
            <w:pPr>
              <w:pStyle w:val="Tabletext"/>
              <w:rPr>
                <w:color w:val="000000"/>
              </w:rPr>
            </w:pPr>
            <w:r w:rsidRPr="00833B7A">
              <w:rPr>
                <w:color w:val="000000"/>
              </w:rPr>
              <w:t>(0.116)</w:t>
            </w:r>
          </w:p>
        </w:tc>
      </w:tr>
      <w:tr w:rsidR="005A108E" w:rsidRPr="00833B7A" w14:paraId="466F699B" w14:textId="77777777" w:rsidTr="005A108E">
        <w:trPr>
          <w:trHeight w:val="300"/>
        </w:trPr>
        <w:tc>
          <w:tcPr>
            <w:tcW w:w="2637" w:type="pct"/>
            <w:tcBorders>
              <w:top w:val="nil"/>
              <w:left w:val="nil"/>
              <w:bottom w:val="nil"/>
              <w:right w:val="nil"/>
            </w:tcBorders>
            <w:shd w:val="clear" w:color="auto" w:fill="auto"/>
            <w:noWrap/>
            <w:vAlign w:val="center"/>
          </w:tcPr>
          <w:p w14:paraId="2C1823F8" w14:textId="77777777" w:rsidR="005A108E" w:rsidRPr="00833B7A" w:rsidRDefault="005A108E" w:rsidP="00245694">
            <w:pPr>
              <w:pStyle w:val="Tabletext"/>
              <w:rPr>
                <w:color w:val="000000"/>
              </w:rPr>
            </w:pPr>
            <w:r>
              <w:rPr>
                <w:color w:val="000000"/>
              </w:rPr>
              <w:t>Self-assessed m</w:t>
            </w:r>
            <w:r w:rsidRPr="00833B7A">
              <w:rPr>
                <w:color w:val="000000"/>
              </w:rPr>
              <w:t>ath</w:t>
            </w:r>
            <w:r>
              <w:rPr>
                <w:color w:val="000000"/>
              </w:rPr>
              <w:t>s competence</w:t>
            </w:r>
            <w:r w:rsidRPr="00833B7A">
              <w:rPr>
                <w:color w:val="000000"/>
              </w:rPr>
              <w:t xml:space="preserve"> at age 15 </w:t>
            </w:r>
          </w:p>
        </w:tc>
        <w:tc>
          <w:tcPr>
            <w:tcW w:w="603" w:type="pct"/>
            <w:tcBorders>
              <w:top w:val="nil"/>
              <w:left w:val="nil"/>
              <w:bottom w:val="nil"/>
              <w:right w:val="nil"/>
            </w:tcBorders>
            <w:vAlign w:val="center"/>
          </w:tcPr>
          <w:p w14:paraId="3528B504" w14:textId="77777777" w:rsidR="005A108E" w:rsidRPr="00833B7A" w:rsidRDefault="005A108E" w:rsidP="00245694">
            <w:pPr>
              <w:pStyle w:val="Tabletext"/>
              <w:rPr>
                <w:color w:val="000000"/>
              </w:rPr>
            </w:pPr>
          </w:p>
        </w:tc>
        <w:tc>
          <w:tcPr>
            <w:tcW w:w="37" w:type="pct"/>
            <w:tcBorders>
              <w:top w:val="nil"/>
              <w:left w:val="nil"/>
              <w:bottom w:val="nil"/>
              <w:right w:val="nil"/>
            </w:tcBorders>
          </w:tcPr>
          <w:p w14:paraId="75B51EB6" w14:textId="77777777" w:rsidR="005A108E" w:rsidRPr="00833B7A" w:rsidRDefault="005A108E" w:rsidP="00245694">
            <w:pPr>
              <w:pStyle w:val="Tabletext"/>
              <w:rPr>
                <w:color w:val="000000"/>
              </w:rPr>
            </w:pPr>
          </w:p>
        </w:tc>
        <w:tc>
          <w:tcPr>
            <w:tcW w:w="523" w:type="pct"/>
            <w:tcBorders>
              <w:top w:val="nil"/>
              <w:left w:val="nil"/>
              <w:bottom w:val="nil"/>
              <w:right w:val="nil"/>
            </w:tcBorders>
            <w:vAlign w:val="center"/>
          </w:tcPr>
          <w:p w14:paraId="4068182A" w14:textId="77777777" w:rsidR="005A108E" w:rsidRPr="00833B7A" w:rsidRDefault="005A108E" w:rsidP="00245694">
            <w:pPr>
              <w:pStyle w:val="Tabletext"/>
              <w:rPr>
                <w:color w:val="000000"/>
              </w:rPr>
            </w:pPr>
          </w:p>
        </w:tc>
        <w:tc>
          <w:tcPr>
            <w:tcW w:w="37" w:type="pct"/>
            <w:tcBorders>
              <w:top w:val="nil"/>
              <w:left w:val="nil"/>
              <w:bottom w:val="nil"/>
              <w:right w:val="nil"/>
            </w:tcBorders>
          </w:tcPr>
          <w:p w14:paraId="7473DA66" w14:textId="77777777" w:rsidR="005A108E" w:rsidRPr="00833B7A" w:rsidRDefault="005A108E" w:rsidP="00245694">
            <w:pPr>
              <w:pStyle w:val="Tabletext"/>
              <w:rPr>
                <w:color w:val="000000"/>
              </w:rPr>
            </w:pPr>
          </w:p>
        </w:tc>
        <w:tc>
          <w:tcPr>
            <w:tcW w:w="603" w:type="pct"/>
            <w:tcBorders>
              <w:top w:val="nil"/>
              <w:left w:val="nil"/>
              <w:bottom w:val="nil"/>
              <w:right w:val="nil"/>
            </w:tcBorders>
            <w:vAlign w:val="center"/>
          </w:tcPr>
          <w:p w14:paraId="1B8E5E6A" w14:textId="77777777" w:rsidR="005A108E" w:rsidRPr="00833B7A" w:rsidRDefault="005A108E" w:rsidP="00245694">
            <w:pPr>
              <w:pStyle w:val="Tabletext"/>
              <w:rPr>
                <w:color w:val="000000"/>
              </w:rPr>
            </w:pPr>
            <w:r w:rsidRPr="00833B7A">
              <w:rPr>
                <w:color w:val="000000"/>
              </w:rPr>
              <w:t>0.370***</w:t>
            </w:r>
          </w:p>
        </w:tc>
        <w:tc>
          <w:tcPr>
            <w:tcW w:w="37" w:type="pct"/>
            <w:tcBorders>
              <w:top w:val="nil"/>
              <w:left w:val="nil"/>
              <w:bottom w:val="nil"/>
              <w:right w:val="nil"/>
            </w:tcBorders>
          </w:tcPr>
          <w:p w14:paraId="3FC8B697" w14:textId="77777777" w:rsidR="005A108E" w:rsidRPr="00833B7A" w:rsidRDefault="005A108E" w:rsidP="00245694">
            <w:pPr>
              <w:pStyle w:val="Tabletext"/>
              <w:rPr>
                <w:color w:val="000000"/>
              </w:rPr>
            </w:pPr>
          </w:p>
        </w:tc>
        <w:tc>
          <w:tcPr>
            <w:tcW w:w="523" w:type="pct"/>
            <w:tcBorders>
              <w:top w:val="nil"/>
              <w:left w:val="nil"/>
              <w:bottom w:val="nil"/>
              <w:right w:val="nil"/>
            </w:tcBorders>
            <w:vAlign w:val="center"/>
          </w:tcPr>
          <w:p w14:paraId="12118D89" w14:textId="77777777" w:rsidR="005A108E" w:rsidRPr="00833B7A" w:rsidRDefault="005A108E" w:rsidP="00245694">
            <w:pPr>
              <w:pStyle w:val="Tabletext"/>
              <w:rPr>
                <w:color w:val="000000"/>
              </w:rPr>
            </w:pPr>
            <w:r w:rsidRPr="00833B7A">
              <w:rPr>
                <w:color w:val="000000"/>
              </w:rPr>
              <w:t>(0.065)</w:t>
            </w:r>
          </w:p>
        </w:tc>
      </w:tr>
      <w:tr w:rsidR="005A108E" w:rsidRPr="00833B7A" w14:paraId="109ED3AC" w14:textId="77777777" w:rsidTr="005A108E">
        <w:trPr>
          <w:trHeight w:val="300"/>
        </w:trPr>
        <w:tc>
          <w:tcPr>
            <w:tcW w:w="2637" w:type="pct"/>
            <w:tcBorders>
              <w:top w:val="nil"/>
              <w:left w:val="nil"/>
              <w:bottom w:val="nil"/>
              <w:right w:val="nil"/>
            </w:tcBorders>
            <w:shd w:val="clear" w:color="auto" w:fill="auto"/>
            <w:noWrap/>
            <w:vAlign w:val="center"/>
          </w:tcPr>
          <w:p w14:paraId="3B3338EC" w14:textId="77777777" w:rsidR="005A108E" w:rsidRPr="00833B7A" w:rsidRDefault="005A108E" w:rsidP="00245694">
            <w:pPr>
              <w:pStyle w:val="Tabletext"/>
              <w:rPr>
                <w:color w:val="000000"/>
              </w:rPr>
            </w:pPr>
            <w:r w:rsidRPr="00833B7A">
              <w:rPr>
                <w:color w:val="000000"/>
              </w:rPr>
              <w:t xml:space="preserve">Relevant subject choice in Year 12 </w:t>
            </w:r>
          </w:p>
        </w:tc>
        <w:tc>
          <w:tcPr>
            <w:tcW w:w="603" w:type="pct"/>
            <w:tcBorders>
              <w:top w:val="nil"/>
              <w:left w:val="nil"/>
              <w:bottom w:val="nil"/>
              <w:right w:val="nil"/>
            </w:tcBorders>
            <w:vAlign w:val="center"/>
          </w:tcPr>
          <w:p w14:paraId="371B98DE" w14:textId="77777777" w:rsidR="005A108E" w:rsidRPr="00833B7A" w:rsidRDefault="005A108E" w:rsidP="00245694">
            <w:pPr>
              <w:pStyle w:val="Tabletext"/>
              <w:rPr>
                <w:color w:val="000000"/>
              </w:rPr>
            </w:pPr>
          </w:p>
        </w:tc>
        <w:tc>
          <w:tcPr>
            <w:tcW w:w="37" w:type="pct"/>
            <w:tcBorders>
              <w:top w:val="nil"/>
              <w:left w:val="nil"/>
              <w:bottom w:val="nil"/>
              <w:right w:val="nil"/>
            </w:tcBorders>
          </w:tcPr>
          <w:p w14:paraId="38C43C0A" w14:textId="77777777" w:rsidR="005A108E" w:rsidRPr="00833B7A" w:rsidRDefault="005A108E" w:rsidP="00245694">
            <w:pPr>
              <w:pStyle w:val="Tabletext"/>
              <w:rPr>
                <w:color w:val="000000"/>
              </w:rPr>
            </w:pPr>
          </w:p>
        </w:tc>
        <w:tc>
          <w:tcPr>
            <w:tcW w:w="523" w:type="pct"/>
            <w:tcBorders>
              <w:top w:val="nil"/>
              <w:left w:val="nil"/>
              <w:bottom w:val="nil"/>
              <w:right w:val="nil"/>
            </w:tcBorders>
            <w:vAlign w:val="center"/>
          </w:tcPr>
          <w:p w14:paraId="5B4018BC" w14:textId="77777777" w:rsidR="005A108E" w:rsidRPr="00833B7A" w:rsidRDefault="005A108E" w:rsidP="00245694">
            <w:pPr>
              <w:pStyle w:val="Tabletext"/>
              <w:rPr>
                <w:color w:val="000000"/>
              </w:rPr>
            </w:pPr>
          </w:p>
        </w:tc>
        <w:tc>
          <w:tcPr>
            <w:tcW w:w="37" w:type="pct"/>
            <w:tcBorders>
              <w:top w:val="nil"/>
              <w:left w:val="nil"/>
              <w:bottom w:val="nil"/>
              <w:right w:val="nil"/>
            </w:tcBorders>
          </w:tcPr>
          <w:p w14:paraId="4501BA9D" w14:textId="77777777" w:rsidR="005A108E" w:rsidRPr="00833B7A" w:rsidRDefault="005A108E" w:rsidP="00245694">
            <w:pPr>
              <w:pStyle w:val="Tabletext"/>
              <w:rPr>
                <w:color w:val="000000"/>
              </w:rPr>
            </w:pPr>
          </w:p>
        </w:tc>
        <w:tc>
          <w:tcPr>
            <w:tcW w:w="603" w:type="pct"/>
            <w:tcBorders>
              <w:top w:val="nil"/>
              <w:left w:val="nil"/>
              <w:bottom w:val="nil"/>
              <w:right w:val="nil"/>
            </w:tcBorders>
            <w:vAlign w:val="center"/>
          </w:tcPr>
          <w:p w14:paraId="6E60FC76" w14:textId="77777777" w:rsidR="005A108E" w:rsidRPr="00833B7A" w:rsidRDefault="005A108E" w:rsidP="00245694">
            <w:pPr>
              <w:pStyle w:val="Tabletext"/>
              <w:rPr>
                <w:color w:val="000000"/>
              </w:rPr>
            </w:pPr>
          </w:p>
        </w:tc>
        <w:tc>
          <w:tcPr>
            <w:tcW w:w="37" w:type="pct"/>
            <w:tcBorders>
              <w:top w:val="nil"/>
              <w:left w:val="nil"/>
              <w:bottom w:val="nil"/>
              <w:right w:val="nil"/>
            </w:tcBorders>
          </w:tcPr>
          <w:p w14:paraId="19C23C7F" w14:textId="77777777" w:rsidR="005A108E" w:rsidRPr="00833B7A" w:rsidRDefault="005A108E" w:rsidP="00245694">
            <w:pPr>
              <w:pStyle w:val="Tabletext"/>
              <w:rPr>
                <w:color w:val="000000"/>
              </w:rPr>
            </w:pPr>
          </w:p>
        </w:tc>
        <w:tc>
          <w:tcPr>
            <w:tcW w:w="523" w:type="pct"/>
            <w:tcBorders>
              <w:top w:val="nil"/>
              <w:left w:val="nil"/>
              <w:bottom w:val="nil"/>
              <w:right w:val="nil"/>
            </w:tcBorders>
            <w:vAlign w:val="center"/>
          </w:tcPr>
          <w:p w14:paraId="4B9790E7" w14:textId="77777777" w:rsidR="005A108E" w:rsidRPr="00833B7A" w:rsidRDefault="005A108E" w:rsidP="00245694">
            <w:pPr>
              <w:pStyle w:val="Tabletext"/>
              <w:rPr>
                <w:color w:val="000000"/>
              </w:rPr>
            </w:pPr>
          </w:p>
        </w:tc>
      </w:tr>
      <w:tr w:rsidR="005A108E" w:rsidRPr="00833B7A" w14:paraId="3FA22845" w14:textId="77777777" w:rsidTr="005A108E">
        <w:trPr>
          <w:trHeight w:val="300"/>
        </w:trPr>
        <w:tc>
          <w:tcPr>
            <w:tcW w:w="2637" w:type="pct"/>
            <w:tcBorders>
              <w:top w:val="nil"/>
              <w:left w:val="nil"/>
              <w:bottom w:val="nil"/>
              <w:right w:val="nil"/>
            </w:tcBorders>
            <w:shd w:val="clear" w:color="auto" w:fill="auto"/>
            <w:noWrap/>
            <w:vAlign w:val="center"/>
          </w:tcPr>
          <w:p w14:paraId="382B3A96" w14:textId="77777777" w:rsidR="005A108E" w:rsidRPr="00833B7A" w:rsidRDefault="005A108E" w:rsidP="00245694">
            <w:pPr>
              <w:pStyle w:val="Tabletext"/>
              <w:rPr>
                <w:color w:val="000000"/>
              </w:rPr>
            </w:pPr>
            <w:r>
              <w:rPr>
                <w:color w:val="000000"/>
              </w:rPr>
              <w:t>Studied advanced math</w:t>
            </w:r>
            <w:r w:rsidRPr="00833B7A">
              <w:rPr>
                <w:color w:val="000000"/>
              </w:rPr>
              <w:t xml:space="preserve">s and physical science </w:t>
            </w:r>
          </w:p>
        </w:tc>
        <w:tc>
          <w:tcPr>
            <w:tcW w:w="603" w:type="pct"/>
            <w:tcBorders>
              <w:top w:val="nil"/>
              <w:left w:val="nil"/>
              <w:bottom w:val="nil"/>
              <w:right w:val="nil"/>
            </w:tcBorders>
            <w:vAlign w:val="center"/>
          </w:tcPr>
          <w:p w14:paraId="6D7362CF" w14:textId="77777777" w:rsidR="005A108E" w:rsidRPr="00833B7A" w:rsidRDefault="005A108E" w:rsidP="00245694">
            <w:pPr>
              <w:pStyle w:val="Tabletext"/>
              <w:rPr>
                <w:color w:val="000000"/>
              </w:rPr>
            </w:pPr>
          </w:p>
        </w:tc>
        <w:tc>
          <w:tcPr>
            <w:tcW w:w="37" w:type="pct"/>
            <w:tcBorders>
              <w:top w:val="nil"/>
              <w:left w:val="nil"/>
              <w:bottom w:val="nil"/>
              <w:right w:val="nil"/>
            </w:tcBorders>
          </w:tcPr>
          <w:p w14:paraId="7EA282A0" w14:textId="77777777" w:rsidR="005A108E" w:rsidRPr="00833B7A" w:rsidRDefault="005A108E" w:rsidP="00245694">
            <w:pPr>
              <w:pStyle w:val="Tabletext"/>
              <w:rPr>
                <w:color w:val="000000"/>
              </w:rPr>
            </w:pPr>
          </w:p>
        </w:tc>
        <w:tc>
          <w:tcPr>
            <w:tcW w:w="523" w:type="pct"/>
            <w:tcBorders>
              <w:top w:val="nil"/>
              <w:left w:val="nil"/>
              <w:bottom w:val="nil"/>
              <w:right w:val="nil"/>
            </w:tcBorders>
            <w:vAlign w:val="center"/>
          </w:tcPr>
          <w:p w14:paraId="3B7A35D4" w14:textId="77777777" w:rsidR="005A108E" w:rsidRPr="00833B7A" w:rsidRDefault="005A108E" w:rsidP="00245694">
            <w:pPr>
              <w:pStyle w:val="Tabletext"/>
              <w:rPr>
                <w:color w:val="000000"/>
              </w:rPr>
            </w:pPr>
          </w:p>
        </w:tc>
        <w:tc>
          <w:tcPr>
            <w:tcW w:w="37" w:type="pct"/>
            <w:tcBorders>
              <w:top w:val="nil"/>
              <w:left w:val="nil"/>
              <w:bottom w:val="nil"/>
              <w:right w:val="nil"/>
            </w:tcBorders>
          </w:tcPr>
          <w:p w14:paraId="5A6FC9AD" w14:textId="77777777" w:rsidR="005A108E" w:rsidRPr="00833B7A" w:rsidRDefault="005A108E" w:rsidP="00245694">
            <w:pPr>
              <w:pStyle w:val="Tabletext"/>
              <w:rPr>
                <w:color w:val="000000"/>
              </w:rPr>
            </w:pPr>
          </w:p>
        </w:tc>
        <w:tc>
          <w:tcPr>
            <w:tcW w:w="603" w:type="pct"/>
            <w:tcBorders>
              <w:top w:val="nil"/>
              <w:left w:val="nil"/>
              <w:bottom w:val="nil"/>
              <w:right w:val="nil"/>
            </w:tcBorders>
            <w:vAlign w:val="center"/>
          </w:tcPr>
          <w:p w14:paraId="0D98CC84" w14:textId="77777777" w:rsidR="005A108E" w:rsidRPr="00833B7A" w:rsidRDefault="005A108E" w:rsidP="00245694">
            <w:pPr>
              <w:pStyle w:val="Tabletext"/>
              <w:rPr>
                <w:color w:val="000000"/>
              </w:rPr>
            </w:pPr>
            <w:r w:rsidRPr="00833B7A">
              <w:rPr>
                <w:color w:val="000000"/>
              </w:rPr>
              <w:t>1.169***</w:t>
            </w:r>
          </w:p>
        </w:tc>
        <w:tc>
          <w:tcPr>
            <w:tcW w:w="37" w:type="pct"/>
            <w:tcBorders>
              <w:top w:val="nil"/>
              <w:left w:val="nil"/>
              <w:bottom w:val="nil"/>
              <w:right w:val="nil"/>
            </w:tcBorders>
          </w:tcPr>
          <w:p w14:paraId="39EA8F30" w14:textId="77777777" w:rsidR="005A108E" w:rsidRPr="00833B7A" w:rsidRDefault="005A108E" w:rsidP="00245694">
            <w:pPr>
              <w:pStyle w:val="Tabletext"/>
              <w:rPr>
                <w:color w:val="000000"/>
              </w:rPr>
            </w:pPr>
          </w:p>
        </w:tc>
        <w:tc>
          <w:tcPr>
            <w:tcW w:w="523" w:type="pct"/>
            <w:tcBorders>
              <w:top w:val="nil"/>
              <w:left w:val="nil"/>
              <w:bottom w:val="nil"/>
              <w:right w:val="nil"/>
            </w:tcBorders>
            <w:vAlign w:val="center"/>
          </w:tcPr>
          <w:p w14:paraId="7683F6DB" w14:textId="77777777" w:rsidR="005A108E" w:rsidRPr="00833B7A" w:rsidRDefault="005A108E" w:rsidP="00245694">
            <w:pPr>
              <w:pStyle w:val="Tabletext"/>
              <w:rPr>
                <w:color w:val="000000"/>
              </w:rPr>
            </w:pPr>
            <w:r w:rsidRPr="00833B7A">
              <w:rPr>
                <w:color w:val="000000"/>
              </w:rPr>
              <w:t>(0.168)</w:t>
            </w:r>
          </w:p>
        </w:tc>
      </w:tr>
      <w:tr w:rsidR="005A108E" w:rsidRPr="00833B7A" w14:paraId="6DCD7525" w14:textId="77777777" w:rsidTr="005A108E">
        <w:trPr>
          <w:trHeight w:val="300"/>
        </w:trPr>
        <w:tc>
          <w:tcPr>
            <w:tcW w:w="2637" w:type="pct"/>
            <w:tcBorders>
              <w:top w:val="nil"/>
              <w:left w:val="nil"/>
              <w:bottom w:val="nil"/>
              <w:right w:val="nil"/>
            </w:tcBorders>
            <w:shd w:val="clear" w:color="auto" w:fill="auto"/>
            <w:noWrap/>
            <w:vAlign w:val="center"/>
          </w:tcPr>
          <w:p w14:paraId="4AEFAA85" w14:textId="77777777" w:rsidR="005A108E" w:rsidRPr="00833B7A" w:rsidRDefault="005A108E" w:rsidP="00245694">
            <w:pPr>
              <w:pStyle w:val="Tabletext"/>
              <w:rPr>
                <w:color w:val="000000"/>
              </w:rPr>
            </w:pPr>
            <w:r w:rsidRPr="00833B7A">
              <w:rPr>
                <w:color w:val="000000"/>
              </w:rPr>
              <w:t xml:space="preserve">Studied physical science only </w:t>
            </w:r>
          </w:p>
        </w:tc>
        <w:tc>
          <w:tcPr>
            <w:tcW w:w="603" w:type="pct"/>
            <w:tcBorders>
              <w:top w:val="nil"/>
              <w:left w:val="nil"/>
              <w:bottom w:val="nil"/>
              <w:right w:val="nil"/>
            </w:tcBorders>
            <w:vAlign w:val="center"/>
          </w:tcPr>
          <w:p w14:paraId="676D86C8" w14:textId="77777777" w:rsidR="005A108E" w:rsidRPr="00833B7A" w:rsidRDefault="005A108E" w:rsidP="00245694">
            <w:pPr>
              <w:pStyle w:val="Tabletext"/>
              <w:rPr>
                <w:color w:val="000000"/>
              </w:rPr>
            </w:pPr>
          </w:p>
        </w:tc>
        <w:tc>
          <w:tcPr>
            <w:tcW w:w="37" w:type="pct"/>
            <w:tcBorders>
              <w:top w:val="nil"/>
              <w:left w:val="nil"/>
              <w:bottom w:val="nil"/>
              <w:right w:val="nil"/>
            </w:tcBorders>
          </w:tcPr>
          <w:p w14:paraId="6FD89805" w14:textId="77777777" w:rsidR="005A108E" w:rsidRPr="00833B7A" w:rsidRDefault="005A108E" w:rsidP="00245694">
            <w:pPr>
              <w:pStyle w:val="Tabletext"/>
              <w:rPr>
                <w:color w:val="000000"/>
              </w:rPr>
            </w:pPr>
          </w:p>
        </w:tc>
        <w:tc>
          <w:tcPr>
            <w:tcW w:w="523" w:type="pct"/>
            <w:tcBorders>
              <w:top w:val="nil"/>
              <w:left w:val="nil"/>
              <w:bottom w:val="nil"/>
              <w:right w:val="nil"/>
            </w:tcBorders>
            <w:vAlign w:val="center"/>
          </w:tcPr>
          <w:p w14:paraId="634CF133" w14:textId="77777777" w:rsidR="005A108E" w:rsidRPr="00833B7A" w:rsidRDefault="005A108E" w:rsidP="00245694">
            <w:pPr>
              <w:pStyle w:val="Tabletext"/>
              <w:rPr>
                <w:color w:val="000000"/>
              </w:rPr>
            </w:pPr>
          </w:p>
        </w:tc>
        <w:tc>
          <w:tcPr>
            <w:tcW w:w="37" w:type="pct"/>
            <w:tcBorders>
              <w:top w:val="nil"/>
              <w:left w:val="nil"/>
              <w:bottom w:val="nil"/>
              <w:right w:val="nil"/>
            </w:tcBorders>
          </w:tcPr>
          <w:p w14:paraId="19CE1542" w14:textId="77777777" w:rsidR="005A108E" w:rsidRPr="00833B7A" w:rsidRDefault="005A108E" w:rsidP="00245694">
            <w:pPr>
              <w:pStyle w:val="Tabletext"/>
              <w:rPr>
                <w:color w:val="000000"/>
              </w:rPr>
            </w:pPr>
          </w:p>
        </w:tc>
        <w:tc>
          <w:tcPr>
            <w:tcW w:w="603" w:type="pct"/>
            <w:tcBorders>
              <w:top w:val="nil"/>
              <w:left w:val="nil"/>
              <w:bottom w:val="nil"/>
              <w:right w:val="nil"/>
            </w:tcBorders>
            <w:vAlign w:val="center"/>
          </w:tcPr>
          <w:p w14:paraId="121255C1" w14:textId="77777777" w:rsidR="005A108E" w:rsidRPr="00833B7A" w:rsidRDefault="005A108E" w:rsidP="00245694">
            <w:pPr>
              <w:pStyle w:val="Tabletext"/>
              <w:rPr>
                <w:color w:val="000000"/>
              </w:rPr>
            </w:pPr>
            <w:r w:rsidRPr="00833B7A">
              <w:rPr>
                <w:color w:val="000000"/>
              </w:rPr>
              <w:t xml:space="preserve">0.551*** </w:t>
            </w:r>
          </w:p>
        </w:tc>
        <w:tc>
          <w:tcPr>
            <w:tcW w:w="37" w:type="pct"/>
            <w:tcBorders>
              <w:top w:val="nil"/>
              <w:left w:val="nil"/>
              <w:bottom w:val="nil"/>
              <w:right w:val="nil"/>
            </w:tcBorders>
          </w:tcPr>
          <w:p w14:paraId="6470793F" w14:textId="77777777" w:rsidR="005A108E" w:rsidRPr="00833B7A" w:rsidRDefault="005A108E" w:rsidP="00245694">
            <w:pPr>
              <w:pStyle w:val="Tabletext"/>
              <w:rPr>
                <w:color w:val="000000"/>
              </w:rPr>
            </w:pPr>
          </w:p>
        </w:tc>
        <w:tc>
          <w:tcPr>
            <w:tcW w:w="523" w:type="pct"/>
            <w:tcBorders>
              <w:top w:val="nil"/>
              <w:left w:val="nil"/>
              <w:bottom w:val="nil"/>
              <w:right w:val="nil"/>
            </w:tcBorders>
            <w:vAlign w:val="center"/>
          </w:tcPr>
          <w:p w14:paraId="49E83F33" w14:textId="77777777" w:rsidR="005A108E" w:rsidRPr="00833B7A" w:rsidRDefault="005A108E" w:rsidP="00245694">
            <w:pPr>
              <w:pStyle w:val="Tabletext"/>
              <w:rPr>
                <w:color w:val="000000"/>
              </w:rPr>
            </w:pPr>
            <w:r w:rsidRPr="00833B7A">
              <w:rPr>
                <w:color w:val="000000"/>
              </w:rPr>
              <w:t>(0.129)</w:t>
            </w:r>
          </w:p>
        </w:tc>
      </w:tr>
      <w:tr w:rsidR="005A108E" w:rsidRPr="00833B7A" w14:paraId="7D53CE1D" w14:textId="77777777" w:rsidTr="005A108E">
        <w:trPr>
          <w:trHeight w:val="300"/>
        </w:trPr>
        <w:tc>
          <w:tcPr>
            <w:tcW w:w="2637" w:type="pct"/>
            <w:tcBorders>
              <w:top w:val="nil"/>
              <w:left w:val="nil"/>
              <w:bottom w:val="nil"/>
              <w:right w:val="nil"/>
            </w:tcBorders>
            <w:shd w:val="clear" w:color="auto" w:fill="auto"/>
            <w:noWrap/>
            <w:vAlign w:val="center"/>
          </w:tcPr>
          <w:p w14:paraId="7E1402AD" w14:textId="77777777" w:rsidR="005A108E" w:rsidRPr="00833B7A" w:rsidRDefault="005A108E" w:rsidP="00245694">
            <w:pPr>
              <w:pStyle w:val="Tabletext"/>
              <w:rPr>
                <w:color w:val="000000"/>
              </w:rPr>
            </w:pPr>
            <w:r w:rsidRPr="00833B7A">
              <w:rPr>
                <w:color w:val="000000"/>
              </w:rPr>
              <w:t xml:space="preserve">Studied advanced maths only </w:t>
            </w:r>
          </w:p>
        </w:tc>
        <w:tc>
          <w:tcPr>
            <w:tcW w:w="603" w:type="pct"/>
            <w:tcBorders>
              <w:top w:val="nil"/>
              <w:left w:val="nil"/>
              <w:bottom w:val="nil"/>
              <w:right w:val="nil"/>
            </w:tcBorders>
            <w:vAlign w:val="center"/>
          </w:tcPr>
          <w:p w14:paraId="60B798F6" w14:textId="77777777" w:rsidR="005A108E" w:rsidRPr="00833B7A" w:rsidRDefault="005A108E" w:rsidP="00245694">
            <w:pPr>
              <w:pStyle w:val="Tabletext"/>
              <w:rPr>
                <w:color w:val="000000"/>
              </w:rPr>
            </w:pPr>
          </w:p>
        </w:tc>
        <w:tc>
          <w:tcPr>
            <w:tcW w:w="37" w:type="pct"/>
            <w:tcBorders>
              <w:top w:val="nil"/>
              <w:left w:val="nil"/>
              <w:bottom w:val="nil"/>
              <w:right w:val="nil"/>
            </w:tcBorders>
          </w:tcPr>
          <w:p w14:paraId="7E7407C7" w14:textId="77777777" w:rsidR="005A108E" w:rsidRPr="00833B7A" w:rsidRDefault="005A108E" w:rsidP="00245694">
            <w:pPr>
              <w:pStyle w:val="Tabletext"/>
              <w:rPr>
                <w:color w:val="000000"/>
              </w:rPr>
            </w:pPr>
          </w:p>
        </w:tc>
        <w:tc>
          <w:tcPr>
            <w:tcW w:w="523" w:type="pct"/>
            <w:tcBorders>
              <w:top w:val="nil"/>
              <w:left w:val="nil"/>
              <w:bottom w:val="nil"/>
              <w:right w:val="nil"/>
            </w:tcBorders>
            <w:vAlign w:val="center"/>
          </w:tcPr>
          <w:p w14:paraId="445B6B82" w14:textId="77777777" w:rsidR="005A108E" w:rsidRPr="00833B7A" w:rsidRDefault="005A108E" w:rsidP="00245694">
            <w:pPr>
              <w:pStyle w:val="Tabletext"/>
              <w:rPr>
                <w:color w:val="000000"/>
              </w:rPr>
            </w:pPr>
          </w:p>
        </w:tc>
        <w:tc>
          <w:tcPr>
            <w:tcW w:w="37" w:type="pct"/>
            <w:tcBorders>
              <w:top w:val="nil"/>
              <w:left w:val="nil"/>
              <w:bottom w:val="nil"/>
              <w:right w:val="nil"/>
            </w:tcBorders>
          </w:tcPr>
          <w:p w14:paraId="02382AC7" w14:textId="77777777" w:rsidR="005A108E" w:rsidRPr="00833B7A" w:rsidRDefault="005A108E" w:rsidP="00245694">
            <w:pPr>
              <w:pStyle w:val="Tabletext"/>
              <w:rPr>
                <w:color w:val="000000"/>
              </w:rPr>
            </w:pPr>
          </w:p>
        </w:tc>
        <w:tc>
          <w:tcPr>
            <w:tcW w:w="603" w:type="pct"/>
            <w:tcBorders>
              <w:top w:val="nil"/>
              <w:left w:val="nil"/>
              <w:bottom w:val="nil"/>
              <w:right w:val="nil"/>
            </w:tcBorders>
            <w:vAlign w:val="center"/>
          </w:tcPr>
          <w:p w14:paraId="3FCDD1E2" w14:textId="77777777" w:rsidR="005A108E" w:rsidRPr="00833B7A" w:rsidRDefault="005A108E" w:rsidP="00245694">
            <w:pPr>
              <w:pStyle w:val="Tabletext"/>
              <w:rPr>
                <w:color w:val="000000"/>
              </w:rPr>
            </w:pPr>
            <w:r w:rsidRPr="00833B7A">
              <w:rPr>
                <w:color w:val="000000"/>
              </w:rPr>
              <w:t>0.150</w:t>
            </w:r>
          </w:p>
        </w:tc>
        <w:tc>
          <w:tcPr>
            <w:tcW w:w="37" w:type="pct"/>
            <w:tcBorders>
              <w:top w:val="nil"/>
              <w:left w:val="nil"/>
              <w:bottom w:val="nil"/>
              <w:right w:val="nil"/>
            </w:tcBorders>
          </w:tcPr>
          <w:p w14:paraId="55F9B0C8" w14:textId="77777777" w:rsidR="005A108E" w:rsidRPr="00833B7A" w:rsidRDefault="005A108E" w:rsidP="00245694">
            <w:pPr>
              <w:pStyle w:val="Tabletext"/>
              <w:rPr>
                <w:color w:val="000000"/>
              </w:rPr>
            </w:pPr>
          </w:p>
        </w:tc>
        <w:tc>
          <w:tcPr>
            <w:tcW w:w="523" w:type="pct"/>
            <w:tcBorders>
              <w:top w:val="nil"/>
              <w:left w:val="nil"/>
              <w:bottom w:val="nil"/>
              <w:right w:val="nil"/>
            </w:tcBorders>
            <w:vAlign w:val="center"/>
          </w:tcPr>
          <w:p w14:paraId="66FFC5CA" w14:textId="77777777" w:rsidR="005A108E" w:rsidRPr="00833B7A" w:rsidRDefault="005A108E" w:rsidP="00245694">
            <w:pPr>
              <w:pStyle w:val="Tabletext"/>
              <w:rPr>
                <w:color w:val="000000"/>
              </w:rPr>
            </w:pPr>
            <w:r w:rsidRPr="00833B7A">
              <w:rPr>
                <w:color w:val="000000"/>
              </w:rPr>
              <w:t>(0.280)</w:t>
            </w:r>
          </w:p>
        </w:tc>
      </w:tr>
      <w:tr w:rsidR="005A108E" w:rsidRPr="00833B7A" w14:paraId="1BBA0103" w14:textId="77777777" w:rsidTr="005A108E">
        <w:trPr>
          <w:trHeight w:val="300"/>
        </w:trPr>
        <w:tc>
          <w:tcPr>
            <w:tcW w:w="2637" w:type="pct"/>
            <w:tcBorders>
              <w:top w:val="nil"/>
              <w:left w:val="nil"/>
              <w:bottom w:val="nil"/>
              <w:right w:val="nil"/>
            </w:tcBorders>
            <w:shd w:val="clear" w:color="auto" w:fill="auto"/>
            <w:noWrap/>
            <w:vAlign w:val="center"/>
          </w:tcPr>
          <w:p w14:paraId="131738C8" w14:textId="77777777" w:rsidR="005A108E" w:rsidRPr="00833B7A" w:rsidRDefault="005A108E" w:rsidP="00245694">
            <w:pPr>
              <w:pStyle w:val="Tabletext"/>
              <w:rPr>
                <w:color w:val="000000"/>
              </w:rPr>
            </w:pPr>
          </w:p>
        </w:tc>
        <w:tc>
          <w:tcPr>
            <w:tcW w:w="603" w:type="pct"/>
            <w:tcBorders>
              <w:top w:val="nil"/>
              <w:left w:val="nil"/>
              <w:bottom w:val="nil"/>
              <w:right w:val="nil"/>
            </w:tcBorders>
            <w:vAlign w:val="center"/>
          </w:tcPr>
          <w:p w14:paraId="7CEA0913" w14:textId="77777777" w:rsidR="005A108E" w:rsidRPr="00833B7A" w:rsidRDefault="005A108E" w:rsidP="00245694">
            <w:pPr>
              <w:pStyle w:val="Tabletext"/>
              <w:rPr>
                <w:color w:val="000000"/>
              </w:rPr>
            </w:pPr>
          </w:p>
        </w:tc>
        <w:tc>
          <w:tcPr>
            <w:tcW w:w="37" w:type="pct"/>
            <w:tcBorders>
              <w:top w:val="nil"/>
              <w:left w:val="nil"/>
              <w:bottom w:val="nil"/>
              <w:right w:val="nil"/>
            </w:tcBorders>
          </w:tcPr>
          <w:p w14:paraId="396B157D" w14:textId="77777777" w:rsidR="005A108E" w:rsidRPr="00833B7A" w:rsidRDefault="005A108E" w:rsidP="00245694">
            <w:pPr>
              <w:pStyle w:val="Tabletext"/>
              <w:rPr>
                <w:color w:val="000000"/>
              </w:rPr>
            </w:pPr>
          </w:p>
        </w:tc>
        <w:tc>
          <w:tcPr>
            <w:tcW w:w="523" w:type="pct"/>
            <w:tcBorders>
              <w:top w:val="nil"/>
              <w:left w:val="nil"/>
              <w:bottom w:val="nil"/>
              <w:right w:val="nil"/>
            </w:tcBorders>
            <w:vAlign w:val="center"/>
          </w:tcPr>
          <w:p w14:paraId="5C24325A" w14:textId="77777777" w:rsidR="005A108E" w:rsidRPr="00833B7A" w:rsidRDefault="005A108E" w:rsidP="00245694">
            <w:pPr>
              <w:pStyle w:val="Tabletext"/>
              <w:rPr>
                <w:color w:val="000000"/>
              </w:rPr>
            </w:pPr>
          </w:p>
        </w:tc>
        <w:tc>
          <w:tcPr>
            <w:tcW w:w="37" w:type="pct"/>
            <w:tcBorders>
              <w:top w:val="nil"/>
              <w:left w:val="nil"/>
              <w:bottom w:val="nil"/>
              <w:right w:val="nil"/>
            </w:tcBorders>
          </w:tcPr>
          <w:p w14:paraId="73AC8DA5" w14:textId="77777777" w:rsidR="005A108E" w:rsidRPr="00833B7A" w:rsidRDefault="005A108E" w:rsidP="00245694">
            <w:pPr>
              <w:pStyle w:val="Tabletext"/>
              <w:rPr>
                <w:color w:val="000000"/>
              </w:rPr>
            </w:pPr>
          </w:p>
        </w:tc>
        <w:tc>
          <w:tcPr>
            <w:tcW w:w="603" w:type="pct"/>
            <w:tcBorders>
              <w:top w:val="nil"/>
              <w:left w:val="nil"/>
              <w:bottom w:val="nil"/>
              <w:right w:val="nil"/>
            </w:tcBorders>
            <w:vAlign w:val="center"/>
          </w:tcPr>
          <w:p w14:paraId="3DC2E2CF" w14:textId="77777777" w:rsidR="005A108E" w:rsidRPr="00833B7A" w:rsidRDefault="005A108E" w:rsidP="00245694">
            <w:pPr>
              <w:pStyle w:val="Tabletext"/>
              <w:rPr>
                <w:color w:val="000000"/>
              </w:rPr>
            </w:pPr>
          </w:p>
        </w:tc>
        <w:tc>
          <w:tcPr>
            <w:tcW w:w="37" w:type="pct"/>
            <w:tcBorders>
              <w:top w:val="nil"/>
              <w:left w:val="nil"/>
              <w:bottom w:val="nil"/>
              <w:right w:val="nil"/>
            </w:tcBorders>
          </w:tcPr>
          <w:p w14:paraId="78840061" w14:textId="77777777" w:rsidR="005A108E" w:rsidRPr="00833B7A" w:rsidRDefault="005A108E" w:rsidP="00245694">
            <w:pPr>
              <w:pStyle w:val="Tabletext"/>
              <w:rPr>
                <w:color w:val="000000"/>
              </w:rPr>
            </w:pPr>
          </w:p>
        </w:tc>
        <w:tc>
          <w:tcPr>
            <w:tcW w:w="523" w:type="pct"/>
            <w:tcBorders>
              <w:top w:val="nil"/>
              <w:left w:val="nil"/>
              <w:bottom w:val="nil"/>
              <w:right w:val="nil"/>
            </w:tcBorders>
            <w:vAlign w:val="center"/>
          </w:tcPr>
          <w:p w14:paraId="7B0F79A1" w14:textId="77777777" w:rsidR="005A108E" w:rsidRPr="00833B7A" w:rsidRDefault="005A108E" w:rsidP="00245694">
            <w:pPr>
              <w:pStyle w:val="Tabletext"/>
              <w:rPr>
                <w:color w:val="000000"/>
              </w:rPr>
            </w:pPr>
          </w:p>
        </w:tc>
      </w:tr>
      <w:tr w:rsidR="005A108E" w:rsidRPr="00833B7A" w14:paraId="409E568F" w14:textId="77777777" w:rsidTr="005A108E">
        <w:trPr>
          <w:trHeight w:val="300"/>
        </w:trPr>
        <w:tc>
          <w:tcPr>
            <w:tcW w:w="2637" w:type="pct"/>
            <w:tcBorders>
              <w:top w:val="nil"/>
              <w:left w:val="nil"/>
              <w:bottom w:val="nil"/>
              <w:right w:val="nil"/>
            </w:tcBorders>
            <w:shd w:val="clear" w:color="auto" w:fill="auto"/>
            <w:noWrap/>
            <w:vAlign w:val="center"/>
          </w:tcPr>
          <w:p w14:paraId="49C59CBE" w14:textId="77777777" w:rsidR="005A108E" w:rsidRPr="00833B7A" w:rsidRDefault="005A108E" w:rsidP="00245694">
            <w:pPr>
              <w:pStyle w:val="Tabletext"/>
              <w:rPr>
                <w:color w:val="000000"/>
              </w:rPr>
            </w:pPr>
            <w:r w:rsidRPr="00833B7A">
              <w:rPr>
                <w:color w:val="000000"/>
              </w:rPr>
              <w:t>Constant</w:t>
            </w:r>
          </w:p>
        </w:tc>
        <w:tc>
          <w:tcPr>
            <w:tcW w:w="603" w:type="pct"/>
            <w:tcBorders>
              <w:top w:val="nil"/>
              <w:left w:val="nil"/>
              <w:bottom w:val="nil"/>
              <w:right w:val="nil"/>
            </w:tcBorders>
            <w:vAlign w:val="center"/>
          </w:tcPr>
          <w:p w14:paraId="3D1AF7E5" w14:textId="77777777" w:rsidR="005A108E" w:rsidRPr="00833B7A" w:rsidRDefault="005A108E" w:rsidP="00245694">
            <w:pPr>
              <w:pStyle w:val="Tabletext"/>
              <w:rPr>
                <w:color w:val="000000"/>
              </w:rPr>
            </w:pPr>
            <w:r w:rsidRPr="00833B7A">
              <w:rPr>
                <w:color w:val="000000"/>
              </w:rPr>
              <w:t>-1.180***</w:t>
            </w:r>
          </w:p>
        </w:tc>
        <w:tc>
          <w:tcPr>
            <w:tcW w:w="37" w:type="pct"/>
            <w:tcBorders>
              <w:top w:val="nil"/>
              <w:left w:val="nil"/>
              <w:bottom w:val="nil"/>
              <w:right w:val="nil"/>
            </w:tcBorders>
          </w:tcPr>
          <w:p w14:paraId="4EA4E1FC" w14:textId="77777777" w:rsidR="005A108E" w:rsidRPr="00833B7A" w:rsidRDefault="005A108E" w:rsidP="00245694">
            <w:pPr>
              <w:pStyle w:val="Tabletext"/>
              <w:rPr>
                <w:color w:val="000000"/>
              </w:rPr>
            </w:pPr>
          </w:p>
        </w:tc>
        <w:tc>
          <w:tcPr>
            <w:tcW w:w="523" w:type="pct"/>
            <w:tcBorders>
              <w:top w:val="nil"/>
              <w:left w:val="nil"/>
              <w:bottom w:val="nil"/>
              <w:right w:val="nil"/>
            </w:tcBorders>
            <w:vAlign w:val="center"/>
          </w:tcPr>
          <w:p w14:paraId="267E5990" w14:textId="77777777" w:rsidR="005A108E" w:rsidRPr="00833B7A" w:rsidRDefault="005A108E" w:rsidP="00245694">
            <w:pPr>
              <w:pStyle w:val="Tabletext"/>
              <w:rPr>
                <w:color w:val="000000"/>
              </w:rPr>
            </w:pPr>
            <w:r w:rsidRPr="00833B7A">
              <w:rPr>
                <w:color w:val="000000"/>
              </w:rPr>
              <w:t>(0.147)</w:t>
            </w:r>
          </w:p>
        </w:tc>
        <w:tc>
          <w:tcPr>
            <w:tcW w:w="37" w:type="pct"/>
            <w:tcBorders>
              <w:top w:val="nil"/>
              <w:left w:val="nil"/>
              <w:bottom w:val="nil"/>
              <w:right w:val="nil"/>
            </w:tcBorders>
          </w:tcPr>
          <w:p w14:paraId="583EBB0F" w14:textId="77777777" w:rsidR="005A108E" w:rsidRPr="00833B7A" w:rsidRDefault="005A108E" w:rsidP="00245694">
            <w:pPr>
              <w:pStyle w:val="Tabletext"/>
              <w:rPr>
                <w:color w:val="000000"/>
              </w:rPr>
            </w:pPr>
          </w:p>
        </w:tc>
        <w:tc>
          <w:tcPr>
            <w:tcW w:w="603" w:type="pct"/>
            <w:tcBorders>
              <w:top w:val="nil"/>
              <w:left w:val="nil"/>
              <w:bottom w:val="nil"/>
              <w:right w:val="nil"/>
            </w:tcBorders>
            <w:vAlign w:val="center"/>
          </w:tcPr>
          <w:p w14:paraId="799B0ECE" w14:textId="77777777" w:rsidR="005A108E" w:rsidRPr="00833B7A" w:rsidRDefault="005A108E" w:rsidP="00245694">
            <w:pPr>
              <w:pStyle w:val="Tabletext"/>
              <w:rPr>
                <w:color w:val="000000"/>
              </w:rPr>
            </w:pPr>
            <w:r w:rsidRPr="00833B7A">
              <w:rPr>
                <w:color w:val="000000"/>
              </w:rPr>
              <w:t>-2.220***</w:t>
            </w:r>
          </w:p>
        </w:tc>
        <w:tc>
          <w:tcPr>
            <w:tcW w:w="37" w:type="pct"/>
            <w:tcBorders>
              <w:top w:val="nil"/>
              <w:left w:val="nil"/>
              <w:bottom w:val="nil"/>
              <w:right w:val="nil"/>
            </w:tcBorders>
          </w:tcPr>
          <w:p w14:paraId="4C93E54E" w14:textId="77777777" w:rsidR="005A108E" w:rsidRPr="00833B7A" w:rsidRDefault="005A108E" w:rsidP="00245694">
            <w:pPr>
              <w:pStyle w:val="Tabletext"/>
              <w:rPr>
                <w:color w:val="000000"/>
              </w:rPr>
            </w:pPr>
          </w:p>
        </w:tc>
        <w:tc>
          <w:tcPr>
            <w:tcW w:w="523" w:type="pct"/>
            <w:tcBorders>
              <w:top w:val="nil"/>
              <w:left w:val="nil"/>
              <w:bottom w:val="nil"/>
              <w:right w:val="nil"/>
            </w:tcBorders>
            <w:vAlign w:val="center"/>
          </w:tcPr>
          <w:p w14:paraId="60D0AD89" w14:textId="77777777" w:rsidR="005A108E" w:rsidRPr="00833B7A" w:rsidRDefault="005A108E" w:rsidP="00245694">
            <w:pPr>
              <w:pStyle w:val="Tabletext"/>
              <w:rPr>
                <w:color w:val="000000"/>
              </w:rPr>
            </w:pPr>
            <w:r w:rsidRPr="00833B7A">
              <w:rPr>
                <w:color w:val="000000"/>
              </w:rPr>
              <w:t>(0.176)</w:t>
            </w:r>
          </w:p>
        </w:tc>
      </w:tr>
      <w:tr w:rsidR="005A108E" w:rsidRPr="00833B7A" w14:paraId="266ED061" w14:textId="77777777" w:rsidTr="005A108E">
        <w:trPr>
          <w:trHeight w:val="300"/>
        </w:trPr>
        <w:tc>
          <w:tcPr>
            <w:tcW w:w="2637" w:type="pct"/>
            <w:tcBorders>
              <w:top w:val="nil"/>
              <w:left w:val="nil"/>
              <w:right w:val="nil"/>
            </w:tcBorders>
            <w:shd w:val="clear" w:color="auto" w:fill="auto"/>
            <w:noWrap/>
            <w:vAlign w:val="center"/>
          </w:tcPr>
          <w:p w14:paraId="156B741C" w14:textId="77777777" w:rsidR="005A108E" w:rsidRPr="00833B7A" w:rsidRDefault="005A108E" w:rsidP="00245694">
            <w:pPr>
              <w:pStyle w:val="Tabletext"/>
              <w:rPr>
                <w:color w:val="000000"/>
              </w:rPr>
            </w:pPr>
          </w:p>
        </w:tc>
        <w:tc>
          <w:tcPr>
            <w:tcW w:w="603" w:type="pct"/>
            <w:tcBorders>
              <w:top w:val="nil"/>
              <w:left w:val="nil"/>
              <w:right w:val="nil"/>
            </w:tcBorders>
            <w:vAlign w:val="center"/>
          </w:tcPr>
          <w:p w14:paraId="56520693" w14:textId="77777777" w:rsidR="005A108E" w:rsidRPr="00833B7A" w:rsidRDefault="005A108E" w:rsidP="00245694">
            <w:pPr>
              <w:pStyle w:val="Tabletext"/>
              <w:rPr>
                <w:color w:val="000000"/>
              </w:rPr>
            </w:pPr>
          </w:p>
        </w:tc>
        <w:tc>
          <w:tcPr>
            <w:tcW w:w="37" w:type="pct"/>
            <w:tcBorders>
              <w:top w:val="nil"/>
              <w:left w:val="nil"/>
              <w:right w:val="nil"/>
            </w:tcBorders>
          </w:tcPr>
          <w:p w14:paraId="23D31C48" w14:textId="77777777" w:rsidR="005A108E" w:rsidRPr="00833B7A" w:rsidRDefault="005A108E" w:rsidP="00245694">
            <w:pPr>
              <w:pStyle w:val="Tabletext"/>
              <w:rPr>
                <w:color w:val="000000"/>
              </w:rPr>
            </w:pPr>
          </w:p>
        </w:tc>
        <w:tc>
          <w:tcPr>
            <w:tcW w:w="523" w:type="pct"/>
            <w:tcBorders>
              <w:top w:val="nil"/>
              <w:left w:val="nil"/>
              <w:right w:val="nil"/>
            </w:tcBorders>
            <w:vAlign w:val="center"/>
          </w:tcPr>
          <w:p w14:paraId="74F0B8B1" w14:textId="77777777" w:rsidR="005A108E" w:rsidRPr="00833B7A" w:rsidRDefault="005A108E" w:rsidP="00245694">
            <w:pPr>
              <w:pStyle w:val="Tabletext"/>
              <w:rPr>
                <w:color w:val="000000"/>
              </w:rPr>
            </w:pPr>
          </w:p>
        </w:tc>
        <w:tc>
          <w:tcPr>
            <w:tcW w:w="37" w:type="pct"/>
            <w:tcBorders>
              <w:top w:val="nil"/>
              <w:left w:val="nil"/>
              <w:right w:val="nil"/>
            </w:tcBorders>
          </w:tcPr>
          <w:p w14:paraId="51EA4387" w14:textId="77777777" w:rsidR="005A108E" w:rsidRPr="00833B7A" w:rsidRDefault="005A108E" w:rsidP="00245694">
            <w:pPr>
              <w:pStyle w:val="Tabletext"/>
              <w:rPr>
                <w:color w:val="000000"/>
              </w:rPr>
            </w:pPr>
          </w:p>
        </w:tc>
        <w:tc>
          <w:tcPr>
            <w:tcW w:w="603" w:type="pct"/>
            <w:tcBorders>
              <w:top w:val="nil"/>
              <w:left w:val="nil"/>
              <w:right w:val="nil"/>
            </w:tcBorders>
            <w:vAlign w:val="center"/>
          </w:tcPr>
          <w:p w14:paraId="232D7B2B" w14:textId="77777777" w:rsidR="005A108E" w:rsidRPr="00833B7A" w:rsidRDefault="005A108E" w:rsidP="00245694">
            <w:pPr>
              <w:pStyle w:val="Tabletext"/>
              <w:rPr>
                <w:color w:val="000000"/>
              </w:rPr>
            </w:pPr>
          </w:p>
        </w:tc>
        <w:tc>
          <w:tcPr>
            <w:tcW w:w="37" w:type="pct"/>
            <w:tcBorders>
              <w:top w:val="nil"/>
              <w:left w:val="nil"/>
              <w:right w:val="nil"/>
            </w:tcBorders>
          </w:tcPr>
          <w:p w14:paraId="22DAF465" w14:textId="77777777" w:rsidR="005A108E" w:rsidRPr="00833B7A" w:rsidRDefault="005A108E" w:rsidP="00245694">
            <w:pPr>
              <w:pStyle w:val="Tabletext"/>
              <w:rPr>
                <w:color w:val="000000"/>
              </w:rPr>
            </w:pPr>
          </w:p>
        </w:tc>
        <w:tc>
          <w:tcPr>
            <w:tcW w:w="523" w:type="pct"/>
            <w:tcBorders>
              <w:top w:val="nil"/>
              <w:left w:val="nil"/>
              <w:right w:val="nil"/>
            </w:tcBorders>
            <w:vAlign w:val="center"/>
          </w:tcPr>
          <w:p w14:paraId="44DE7D04" w14:textId="77777777" w:rsidR="005A108E" w:rsidRPr="00833B7A" w:rsidRDefault="005A108E" w:rsidP="00245694">
            <w:pPr>
              <w:pStyle w:val="Tabletext"/>
              <w:rPr>
                <w:color w:val="000000"/>
              </w:rPr>
            </w:pPr>
          </w:p>
        </w:tc>
      </w:tr>
      <w:tr w:rsidR="005A108E" w:rsidRPr="00833B7A" w14:paraId="40C6FDC9" w14:textId="77777777" w:rsidTr="00D6399F">
        <w:trPr>
          <w:trHeight w:val="300"/>
        </w:trPr>
        <w:tc>
          <w:tcPr>
            <w:tcW w:w="2637" w:type="pct"/>
            <w:tcBorders>
              <w:top w:val="nil"/>
              <w:left w:val="nil"/>
              <w:bottom w:val="single" w:sz="6" w:space="0" w:color="auto"/>
              <w:right w:val="nil"/>
            </w:tcBorders>
            <w:shd w:val="clear" w:color="auto" w:fill="auto"/>
            <w:noWrap/>
            <w:vAlign w:val="center"/>
          </w:tcPr>
          <w:p w14:paraId="043CEF7C" w14:textId="153433C2" w:rsidR="005A108E" w:rsidRPr="00833B7A" w:rsidRDefault="005A108E" w:rsidP="00245694">
            <w:pPr>
              <w:pStyle w:val="Tabletext"/>
              <w:rPr>
                <w:b/>
                <w:i/>
                <w:color w:val="000000"/>
              </w:rPr>
            </w:pPr>
            <w:r w:rsidRPr="00833B7A">
              <w:rPr>
                <w:b/>
                <w:i/>
                <w:color w:val="000000"/>
              </w:rPr>
              <w:t xml:space="preserve">Percentage (%) of the gender gap explained </w:t>
            </w:r>
            <w:r w:rsidRPr="00833B7A">
              <w:rPr>
                <w:b/>
                <w:i/>
                <w:color w:val="000000"/>
              </w:rPr>
              <w:br/>
              <w:t xml:space="preserve">(compared </w:t>
            </w:r>
            <w:r w:rsidR="00457797">
              <w:rPr>
                <w:b/>
                <w:i/>
                <w:color w:val="000000"/>
              </w:rPr>
              <w:t>with</w:t>
            </w:r>
            <w:r w:rsidRPr="00833B7A">
              <w:rPr>
                <w:b/>
                <w:i/>
                <w:color w:val="000000"/>
              </w:rPr>
              <w:t xml:space="preserve"> Model 1) </w:t>
            </w:r>
          </w:p>
        </w:tc>
        <w:tc>
          <w:tcPr>
            <w:tcW w:w="603" w:type="pct"/>
            <w:tcBorders>
              <w:top w:val="nil"/>
              <w:left w:val="nil"/>
              <w:bottom w:val="single" w:sz="6" w:space="0" w:color="auto"/>
              <w:right w:val="nil"/>
            </w:tcBorders>
            <w:vAlign w:val="center"/>
          </w:tcPr>
          <w:p w14:paraId="30BC1E25" w14:textId="77777777" w:rsidR="005A108E" w:rsidRPr="00833B7A" w:rsidRDefault="005A108E" w:rsidP="00245694">
            <w:pPr>
              <w:pStyle w:val="Tabletext"/>
              <w:rPr>
                <w:color w:val="000000"/>
              </w:rPr>
            </w:pPr>
          </w:p>
        </w:tc>
        <w:tc>
          <w:tcPr>
            <w:tcW w:w="37" w:type="pct"/>
            <w:tcBorders>
              <w:top w:val="nil"/>
              <w:left w:val="nil"/>
              <w:bottom w:val="single" w:sz="6" w:space="0" w:color="auto"/>
              <w:right w:val="nil"/>
            </w:tcBorders>
          </w:tcPr>
          <w:p w14:paraId="3BDD50D3" w14:textId="77777777" w:rsidR="005A108E" w:rsidRPr="00833B7A" w:rsidRDefault="005A108E" w:rsidP="00245694">
            <w:pPr>
              <w:pStyle w:val="Tabletext"/>
              <w:rPr>
                <w:color w:val="000000"/>
              </w:rPr>
            </w:pPr>
          </w:p>
        </w:tc>
        <w:tc>
          <w:tcPr>
            <w:tcW w:w="523" w:type="pct"/>
            <w:tcBorders>
              <w:top w:val="nil"/>
              <w:left w:val="nil"/>
              <w:bottom w:val="single" w:sz="6" w:space="0" w:color="auto"/>
              <w:right w:val="nil"/>
            </w:tcBorders>
            <w:vAlign w:val="center"/>
          </w:tcPr>
          <w:p w14:paraId="34729142" w14:textId="77777777" w:rsidR="005A108E" w:rsidRPr="00833B7A" w:rsidRDefault="005A108E" w:rsidP="00245694">
            <w:pPr>
              <w:pStyle w:val="Tabletext"/>
              <w:rPr>
                <w:color w:val="000000"/>
              </w:rPr>
            </w:pPr>
          </w:p>
        </w:tc>
        <w:tc>
          <w:tcPr>
            <w:tcW w:w="37" w:type="pct"/>
            <w:tcBorders>
              <w:top w:val="nil"/>
              <w:left w:val="nil"/>
              <w:bottom w:val="single" w:sz="6" w:space="0" w:color="auto"/>
              <w:right w:val="nil"/>
            </w:tcBorders>
            <w:vAlign w:val="center"/>
          </w:tcPr>
          <w:p w14:paraId="2A3B6C51" w14:textId="77777777" w:rsidR="005A108E" w:rsidRPr="00833B7A" w:rsidRDefault="005A108E" w:rsidP="00245694">
            <w:pPr>
              <w:pStyle w:val="Tabletext"/>
              <w:rPr>
                <w:color w:val="000000"/>
              </w:rPr>
            </w:pPr>
          </w:p>
        </w:tc>
        <w:tc>
          <w:tcPr>
            <w:tcW w:w="1163" w:type="pct"/>
            <w:gridSpan w:val="3"/>
            <w:tcBorders>
              <w:top w:val="nil"/>
              <w:left w:val="nil"/>
              <w:bottom w:val="single" w:sz="6" w:space="0" w:color="auto"/>
              <w:right w:val="nil"/>
            </w:tcBorders>
            <w:vAlign w:val="center"/>
          </w:tcPr>
          <w:p w14:paraId="44B72303" w14:textId="77777777" w:rsidR="005A108E" w:rsidRPr="00833B7A" w:rsidRDefault="005A108E" w:rsidP="00245694">
            <w:pPr>
              <w:pStyle w:val="Tabletext"/>
              <w:rPr>
                <w:color w:val="000000"/>
              </w:rPr>
            </w:pPr>
            <w:r w:rsidRPr="00833B7A">
              <w:rPr>
                <w:color w:val="000000"/>
              </w:rPr>
              <w:t>28.1</w:t>
            </w:r>
          </w:p>
        </w:tc>
      </w:tr>
    </w:tbl>
    <w:p w14:paraId="2D02DDBD" w14:textId="77777777" w:rsidR="005A108E" w:rsidRPr="009748FA" w:rsidRDefault="005A108E" w:rsidP="00135941">
      <w:pPr>
        <w:pStyle w:val="Source"/>
        <w:ind w:left="0" w:firstLine="0"/>
      </w:pPr>
      <w:r w:rsidRPr="009748FA">
        <w:t xml:space="preserve">Note: The sample for these analyses contains 3502 students in 310 schools with multiple imputations of missing data. All analyses were undertaken using appropriate weights and adjusted for school clustering. </w:t>
      </w:r>
      <w:r w:rsidRPr="009748FA">
        <w:br/>
        <w:t xml:space="preserve">*** p &lt; 0.001. </w:t>
      </w:r>
    </w:p>
    <w:p w14:paraId="62016DB4" w14:textId="42ADFEF8" w:rsidR="005A108E" w:rsidRPr="009748FA" w:rsidRDefault="005A108E" w:rsidP="00135941">
      <w:pPr>
        <w:pStyle w:val="Source"/>
        <w:ind w:left="0" w:firstLine="0"/>
      </w:pPr>
      <w:r w:rsidRPr="009748FA">
        <w:t xml:space="preserve">Source: </w:t>
      </w:r>
      <w:r w:rsidR="00457797">
        <w:t xml:space="preserve">LSAY </w:t>
      </w:r>
      <w:r w:rsidRPr="009748FA">
        <w:t>Y03</w:t>
      </w:r>
      <w:r w:rsidR="00457797">
        <w:t>.</w:t>
      </w:r>
      <w:r w:rsidRPr="009748FA">
        <w:t xml:space="preserve"> </w:t>
      </w:r>
    </w:p>
    <w:p w14:paraId="6BDA8E9F" w14:textId="06A85B81" w:rsidR="005A108E" w:rsidRDefault="005A108E" w:rsidP="00245694">
      <w:pPr>
        <w:pStyle w:val="Text"/>
      </w:pPr>
      <w:r>
        <w:t xml:space="preserve">I applied the KHB method to Model 2 to examine the independent contributions of students’ occupational expectations, self-assessed maths competence and relevant subject choice in Year 12 to the gender gap in choosing a maths-intensive university major (see </w:t>
      </w:r>
      <w:r w:rsidR="00273F00">
        <w:t>t</w:t>
      </w:r>
      <w:r>
        <w:t xml:space="preserve">able </w:t>
      </w:r>
      <w:r w:rsidR="00135941">
        <w:t>17</w:t>
      </w:r>
      <w:r>
        <w:t xml:space="preserve">). Students’ expectations of a maths-oriented career at age 15 </w:t>
      </w:r>
      <w:r w:rsidR="00273F00">
        <w:t xml:space="preserve">years </w:t>
      </w:r>
      <w:r>
        <w:t>holds the most promise of bridging the gender gap because such occupational expectations explain about 16</w:t>
      </w:r>
      <w:r w:rsidR="00761FB4">
        <w:t>%</w:t>
      </w:r>
      <w:r>
        <w:t xml:space="preserve"> of the gender gap. The second most important factor t</w:t>
      </w:r>
      <w:r w:rsidR="00761FB4">
        <w:t>o</w:t>
      </w:r>
      <w:r>
        <w:t xml:space="preserve"> reduce the gender gap is students’ enrolment in advanced maths in conjunction with physical science in Year 12. Such a subject combination explains about 6</w:t>
      </w:r>
      <w:r w:rsidR="00761FB4">
        <w:t>%</w:t>
      </w:r>
      <w:r>
        <w:t xml:space="preserve"> of the gender gap. Although self-assessed maths competence does not appear as influential as occupational expectations in brid</w:t>
      </w:r>
      <w:r w:rsidR="00245694">
        <w:t>g</w:t>
      </w:r>
      <w:r>
        <w:t xml:space="preserve">ing the gender gap in </w:t>
      </w:r>
      <w:r w:rsidR="002F1F37">
        <w:t>the selection of</w:t>
      </w:r>
      <w:r>
        <w:t xml:space="preserve"> a maths-intensive major, it explains about 5</w:t>
      </w:r>
      <w:r w:rsidR="00761FB4">
        <w:t>%</w:t>
      </w:r>
      <w:r>
        <w:t xml:space="preserve"> of the gap.</w:t>
      </w:r>
    </w:p>
    <w:p w14:paraId="3A9E49BF" w14:textId="71803628" w:rsidR="005A108E" w:rsidRPr="00E70379" w:rsidRDefault="005A108E" w:rsidP="00FB751C">
      <w:pPr>
        <w:pStyle w:val="tabletitle0"/>
      </w:pPr>
      <w:bookmarkStart w:id="189" w:name="_Toc19001674"/>
      <w:r w:rsidRPr="00E70379">
        <w:t xml:space="preserve">Table </w:t>
      </w:r>
      <w:r w:rsidR="009748FA">
        <w:t>17</w:t>
      </w:r>
      <w:r w:rsidRPr="00E70379">
        <w:tab/>
        <w:t>Percentage of the gender gap in the choice of a maths-</w:t>
      </w:r>
      <w:r>
        <w:br/>
      </w:r>
      <w:r w:rsidRPr="00E70379">
        <w:t>intensive major explained by each factor: the KHB method</w:t>
      </w:r>
      <w:bookmarkEnd w:id="189"/>
      <w:r w:rsidRPr="00E70379">
        <w:t xml:space="preserve"> </w:t>
      </w:r>
    </w:p>
    <w:tbl>
      <w:tblPr>
        <w:tblW w:w="0" w:type="auto"/>
        <w:tblBorders>
          <w:top w:val="single" w:sz="6" w:space="0" w:color="auto"/>
          <w:bottom w:val="single" w:sz="6" w:space="0" w:color="auto"/>
        </w:tblBorders>
        <w:tblCellMar>
          <w:left w:w="28" w:type="dxa"/>
          <w:right w:w="28" w:type="dxa"/>
        </w:tblCellMar>
        <w:tblLook w:val="04A0" w:firstRow="1" w:lastRow="0" w:firstColumn="1" w:lastColumn="0" w:noHBand="0" w:noVBand="1"/>
      </w:tblPr>
      <w:tblGrid>
        <w:gridCol w:w="5812"/>
        <w:gridCol w:w="284"/>
        <w:gridCol w:w="708"/>
      </w:tblGrid>
      <w:tr w:rsidR="005A108E" w:rsidRPr="00612129" w14:paraId="7BCDC1F5" w14:textId="77777777" w:rsidTr="00D6399F">
        <w:trPr>
          <w:trHeight w:val="300"/>
        </w:trPr>
        <w:tc>
          <w:tcPr>
            <w:tcW w:w="5812" w:type="dxa"/>
            <w:shd w:val="clear" w:color="auto" w:fill="auto"/>
            <w:noWrap/>
            <w:vAlign w:val="center"/>
          </w:tcPr>
          <w:p w14:paraId="657FF216" w14:textId="77777777" w:rsidR="005A108E" w:rsidRPr="00612129" w:rsidRDefault="005A108E" w:rsidP="007A7EF1">
            <w:pPr>
              <w:pStyle w:val="Tabletext"/>
            </w:pPr>
            <w:r w:rsidRPr="00612129">
              <w:t xml:space="preserve">Expected a maths-intensive career at age 15 </w:t>
            </w:r>
          </w:p>
        </w:tc>
        <w:tc>
          <w:tcPr>
            <w:tcW w:w="284" w:type="dxa"/>
          </w:tcPr>
          <w:p w14:paraId="78771DB1" w14:textId="77777777" w:rsidR="005A108E" w:rsidRPr="00612129" w:rsidRDefault="005A108E" w:rsidP="007A7EF1">
            <w:pPr>
              <w:pStyle w:val="Tabletext"/>
            </w:pPr>
          </w:p>
        </w:tc>
        <w:tc>
          <w:tcPr>
            <w:tcW w:w="708" w:type="dxa"/>
            <w:vAlign w:val="center"/>
          </w:tcPr>
          <w:p w14:paraId="0CBAF821" w14:textId="77777777" w:rsidR="005A108E" w:rsidRPr="00612129" w:rsidRDefault="005A108E" w:rsidP="007A7EF1">
            <w:pPr>
              <w:pStyle w:val="Tabletext"/>
            </w:pPr>
            <w:r w:rsidRPr="00612129">
              <w:t>16</w:t>
            </w:r>
          </w:p>
        </w:tc>
      </w:tr>
      <w:tr w:rsidR="005A108E" w:rsidRPr="00612129" w14:paraId="77262BEB" w14:textId="77777777" w:rsidTr="00D6399F">
        <w:trPr>
          <w:trHeight w:val="300"/>
        </w:trPr>
        <w:tc>
          <w:tcPr>
            <w:tcW w:w="5812" w:type="dxa"/>
            <w:shd w:val="clear" w:color="auto" w:fill="auto"/>
            <w:noWrap/>
            <w:vAlign w:val="center"/>
          </w:tcPr>
          <w:p w14:paraId="1F96C825" w14:textId="77777777" w:rsidR="005A108E" w:rsidRPr="00612129" w:rsidRDefault="005A108E" w:rsidP="007A7EF1">
            <w:pPr>
              <w:pStyle w:val="Tabletext"/>
            </w:pPr>
            <w:r>
              <w:t>Self-assessed m</w:t>
            </w:r>
            <w:r w:rsidRPr="00612129">
              <w:t xml:space="preserve">aths </w:t>
            </w:r>
            <w:r>
              <w:t>competence</w:t>
            </w:r>
            <w:r w:rsidRPr="00612129">
              <w:t xml:space="preserve"> at age 15 </w:t>
            </w:r>
          </w:p>
        </w:tc>
        <w:tc>
          <w:tcPr>
            <w:tcW w:w="284" w:type="dxa"/>
          </w:tcPr>
          <w:p w14:paraId="7688FBE5" w14:textId="77777777" w:rsidR="005A108E" w:rsidRPr="00612129" w:rsidRDefault="005A108E" w:rsidP="007A7EF1">
            <w:pPr>
              <w:pStyle w:val="Tabletext"/>
            </w:pPr>
          </w:p>
        </w:tc>
        <w:tc>
          <w:tcPr>
            <w:tcW w:w="708" w:type="dxa"/>
            <w:vAlign w:val="center"/>
          </w:tcPr>
          <w:p w14:paraId="003472D6" w14:textId="77777777" w:rsidR="005A108E" w:rsidRPr="00612129" w:rsidRDefault="005A108E" w:rsidP="007A7EF1">
            <w:pPr>
              <w:pStyle w:val="Tabletext"/>
            </w:pPr>
            <w:r w:rsidRPr="00612129">
              <w:t>5</w:t>
            </w:r>
          </w:p>
        </w:tc>
      </w:tr>
      <w:tr w:rsidR="005A108E" w:rsidRPr="00612129" w14:paraId="17AACA31" w14:textId="77777777" w:rsidTr="00D6399F">
        <w:trPr>
          <w:trHeight w:val="300"/>
        </w:trPr>
        <w:tc>
          <w:tcPr>
            <w:tcW w:w="5812" w:type="dxa"/>
            <w:shd w:val="clear" w:color="auto" w:fill="auto"/>
            <w:noWrap/>
            <w:vAlign w:val="center"/>
          </w:tcPr>
          <w:p w14:paraId="0E6FCEB6" w14:textId="77777777" w:rsidR="005A108E" w:rsidRPr="00612129" w:rsidRDefault="005A108E" w:rsidP="007A7EF1">
            <w:pPr>
              <w:pStyle w:val="Tabletext"/>
            </w:pPr>
            <w:r w:rsidRPr="00612129">
              <w:t xml:space="preserve">Relevant subject choice in Year 12 </w:t>
            </w:r>
          </w:p>
        </w:tc>
        <w:tc>
          <w:tcPr>
            <w:tcW w:w="284" w:type="dxa"/>
          </w:tcPr>
          <w:p w14:paraId="7259D309" w14:textId="77777777" w:rsidR="005A108E" w:rsidRPr="00612129" w:rsidRDefault="005A108E" w:rsidP="007A7EF1">
            <w:pPr>
              <w:pStyle w:val="Tabletext"/>
            </w:pPr>
          </w:p>
        </w:tc>
        <w:tc>
          <w:tcPr>
            <w:tcW w:w="708" w:type="dxa"/>
            <w:vAlign w:val="center"/>
          </w:tcPr>
          <w:p w14:paraId="7B0205F0" w14:textId="77777777" w:rsidR="005A108E" w:rsidRPr="00612129" w:rsidRDefault="005A108E" w:rsidP="007A7EF1">
            <w:pPr>
              <w:pStyle w:val="Tabletext"/>
            </w:pPr>
          </w:p>
        </w:tc>
      </w:tr>
      <w:tr w:rsidR="005A108E" w:rsidRPr="00612129" w14:paraId="6A42A565" w14:textId="77777777" w:rsidTr="00D6399F">
        <w:trPr>
          <w:trHeight w:val="300"/>
        </w:trPr>
        <w:tc>
          <w:tcPr>
            <w:tcW w:w="5812" w:type="dxa"/>
            <w:shd w:val="clear" w:color="auto" w:fill="auto"/>
            <w:noWrap/>
            <w:vAlign w:val="center"/>
          </w:tcPr>
          <w:p w14:paraId="0E1B72F9" w14:textId="77777777" w:rsidR="005A108E" w:rsidRPr="00612129" w:rsidRDefault="005A108E" w:rsidP="007A7EF1">
            <w:pPr>
              <w:pStyle w:val="Tabletext"/>
            </w:pPr>
            <w:r>
              <w:t>Studied advanced math</w:t>
            </w:r>
            <w:r w:rsidRPr="00612129">
              <w:t xml:space="preserve">s and physical science </w:t>
            </w:r>
          </w:p>
        </w:tc>
        <w:tc>
          <w:tcPr>
            <w:tcW w:w="284" w:type="dxa"/>
          </w:tcPr>
          <w:p w14:paraId="4E1684A3" w14:textId="77777777" w:rsidR="005A108E" w:rsidRPr="00612129" w:rsidRDefault="005A108E" w:rsidP="007A7EF1">
            <w:pPr>
              <w:pStyle w:val="Tabletext"/>
            </w:pPr>
          </w:p>
        </w:tc>
        <w:tc>
          <w:tcPr>
            <w:tcW w:w="708" w:type="dxa"/>
            <w:vAlign w:val="center"/>
          </w:tcPr>
          <w:p w14:paraId="50EB344F" w14:textId="77777777" w:rsidR="005A108E" w:rsidRPr="00612129" w:rsidRDefault="005A108E" w:rsidP="007A7EF1">
            <w:pPr>
              <w:pStyle w:val="Tabletext"/>
            </w:pPr>
            <w:r w:rsidRPr="00612129">
              <w:t>6</w:t>
            </w:r>
          </w:p>
        </w:tc>
      </w:tr>
      <w:tr w:rsidR="005A108E" w:rsidRPr="00612129" w14:paraId="44106363" w14:textId="77777777" w:rsidTr="00D6399F">
        <w:trPr>
          <w:trHeight w:val="300"/>
        </w:trPr>
        <w:tc>
          <w:tcPr>
            <w:tcW w:w="5812" w:type="dxa"/>
            <w:shd w:val="clear" w:color="auto" w:fill="auto"/>
            <w:noWrap/>
            <w:vAlign w:val="center"/>
          </w:tcPr>
          <w:p w14:paraId="19D006B6" w14:textId="77777777" w:rsidR="005A108E" w:rsidRPr="00612129" w:rsidRDefault="005A108E" w:rsidP="007A7EF1">
            <w:pPr>
              <w:pStyle w:val="Tabletext"/>
            </w:pPr>
            <w:r w:rsidRPr="00612129">
              <w:t xml:space="preserve">Studied physical science only </w:t>
            </w:r>
          </w:p>
        </w:tc>
        <w:tc>
          <w:tcPr>
            <w:tcW w:w="284" w:type="dxa"/>
          </w:tcPr>
          <w:p w14:paraId="5C9E20A0" w14:textId="77777777" w:rsidR="005A108E" w:rsidRPr="00612129" w:rsidRDefault="005A108E" w:rsidP="007A7EF1">
            <w:pPr>
              <w:pStyle w:val="Tabletext"/>
            </w:pPr>
          </w:p>
        </w:tc>
        <w:tc>
          <w:tcPr>
            <w:tcW w:w="708" w:type="dxa"/>
            <w:vAlign w:val="center"/>
          </w:tcPr>
          <w:p w14:paraId="39566FEB" w14:textId="77777777" w:rsidR="005A108E" w:rsidRPr="00612129" w:rsidRDefault="005A108E" w:rsidP="007A7EF1">
            <w:pPr>
              <w:pStyle w:val="Tabletext"/>
            </w:pPr>
            <w:r w:rsidRPr="00612129">
              <w:t>1</w:t>
            </w:r>
          </w:p>
        </w:tc>
      </w:tr>
      <w:tr w:rsidR="005A108E" w:rsidRPr="00612129" w14:paraId="32DE97CD" w14:textId="77777777" w:rsidTr="00D6399F">
        <w:trPr>
          <w:trHeight w:val="300"/>
        </w:trPr>
        <w:tc>
          <w:tcPr>
            <w:tcW w:w="5812" w:type="dxa"/>
            <w:shd w:val="clear" w:color="auto" w:fill="auto"/>
            <w:noWrap/>
            <w:vAlign w:val="center"/>
          </w:tcPr>
          <w:p w14:paraId="43C19EB6" w14:textId="77777777" w:rsidR="005A108E" w:rsidRPr="00612129" w:rsidRDefault="005A108E" w:rsidP="007A7EF1">
            <w:pPr>
              <w:pStyle w:val="Tabletext"/>
            </w:pPr>
            <w:r w:rsidRPr="00612129">
              <w:t xml:space="preserve">Studied advanced maths only </w:t>
            </w:r>
          </w:p>
        </w:tc>
        <w:tc>
          <w:tcPr>
            <w:tcW w:w="284" w:type="dxa"/>
          </w:tcPr>
          <w:p w14:paraId="75F28C79" w14:textId="77777777" w:rsidR="005A108E" w:rsidRPr="00612129" w:rsidRDefault="005A108E" w:rsidP="007A7EF1">
            <w:pPr>
              <w:pStyle w:val="Tabletext"/>
            </w:pPr>
          </w:p>
        </w:tc>
        <w:tc>
          <w:tcPr>
            <w:tcW w:w="708" w:type="dxa"/>
            <w:vAlign w:val="center"/>
          </w:tcPr>
          <w:p w14:paraId="7503EE6C" w14:textId="77777777" w:rsidR="005A108E" w:rsidRPr="00612129" w:rsidRDefault="005A108E" w:rsidP="007A7EF1">
            <w:pPr>
              <w:pStyle w:val="Tabletext"/>
            </w:pPr>
            <w:r w:rsidRPr="00612129">
              <w:t>0.1</w:t>
            </w:r>
          </w:p>
        </w:tc>
      </w:tr>
    </w:tbl>
    <w:p w14:paraId="207262F9" w14:textId="006E06A8" w:rsidR="005A108E" w:rsidRDefault="005A108E" w:rsidP="00135941">
      <w:pPr>
        <w:pStyle w:val="Source"/>
      </w:pPr>
      <w:r w:rsidRPr="00612129">
        <w:t xml:space="preserve">Source: </w:t>
      </w:r>
      <w:r w:rsidR="00D265EC">
        <w:t xml:space="preserve">LSAY </w:t>
      </w:r>
      <w:r w:rsidRPr="00612129">
        <w:t>Y03</w:t>
      </w:r>
      <w:r w:rsidR="00D265EC">
        <w:t>.</w:t>
      </w:r>
      <w:r w:rsidRPr="00612129">
        <w:t xml:space="preserve"> </w:t>
      </w:r>
    </w:p>
    <w:p w14:paraId="1D6A440A" w14:textId="77777777" w:rsidR="00B02EAA" w:rsidRDefault="00B02EAA" w:rsidP="005A108E">
      <w:pPr>
        <w:pStyle w:val="Heading2"/>
        <w:sectPr w:rsidR="00B02EAA" w:rsidSect="0010685D">
          <w:footerReference w:type="default" r:id="rId47"/>
          <w:pgSz w:w="11907" w:h="16840" w:code="9"/>
          <w:pgMar w:top="1276" w:right="2552" w:bottom="851" w:left="1418" w:header="709" w:footer="556" w:gutter="0"/>
          <w:cols w:space="708"/>
          <w:docGrid w:linePitch="360"/>
        </w:sectPr>
      </w:pPr>
    </w:p>
    <w:p w14:paraId="5F4BB994" w14:textId="0BE2F8AA" w:rsidR="005A108E" w:rsidRDefault="005A108E" w:rsidP="00B02EAA">
      <w:pPr>
        <w:pStyle w:val="Heading2"/>
        <w:spacing w:before="0"/>
      </w:pPr>
      <w:bookmarkStart w:id="190" w:name="_Toc15048939"/>
      <w:bookmarkStart w:id="191" w:name="_Toc19803952"/>
      <w:r>
        <w:lastRenderedPageBreak/>
        <w:t>Summary</w:t>
      </w:r>
      <w:bookmarkEnd w:id="190"/>
      <w:bookmarkEnd w:id="191"/>
    </w:p>
    <w:p w14:paraId="771B5BC6" w14:textId="41BDB116" w:rsidR="005A108E" w:rsidRDefault="005A108E" w:rsidP="00135941">
      <w:pPr>
        <w:pStyle w:val="Text"/>
      </w:pPr>
      <w:r>
        <w:t xml:space="preserve">The </w:t>
      </w:r>
      <w:r w:rsidR="00D265EC">
        <w:t xml:space="preserve">LSAY </w:t>
      </w:r>
      <w:r>
        <w:t xml:space="preserve">Y03 </w:t>
      </w:r>
      <w:r w:rsidR="00D265EC">
        <w:t xml:space="preserve">cohort </w:t>
      </w:r>
      <w:r>
        <w:t>provides valuable information on students’ occupational expectations and educational experiences with respect to maths. Therefore, in this study, I could consider the extent to which students’ occupational expectations, self-assessed maths competence and subject choice in secondary school would contribute to the gender gap in enrolling in a maths-intensive university major. Overall, the gender gap could be reduced by about 28</w:t>
      </w:r>
      <w:r w:rsidR="009702C8">
        <w:t>%</w:t>
      </w:r>
      <w:r>
        <w:t xml:space="preserve"> if women </w:t>
      </w:r>
      <w:r w:rsidR="000B7ACA">
        <w:t xml:space="preserve">in adolescence </w:t>
      </w:r>
      <w:r>
        <w:t>were as likely as men</w:t>
      </w:r>
      <w:r w:rsidR="00701794">
        <w:t>:</w:t>
      </w:r>
      <w:r>
        <w:t xml:space="preserve"> to expect maths-oriented careers</w:t>
      </w:r>
      <w:r w:rsidR="00701794">
        <w:t>;</w:t>
      </w:r>
      <w:r>
        <w:t xml:space="preserve"> to have more confidence in their maths competence in secondary school</w:t>
      </w:r>
      <w:r w:rsidR="00701794">
        <w:t>;</w:t>
      </w:r>
      <w:r>
        <w:t xml:space="preserve"> and to engage at higher rates in advanced maths and physical science subjects in Year 12. I found that the expectation of a maths-intensive career ha</w:t>
      </w:r>
      <w:r w:rsidR="00A370C8">
        <w:t>d</w:t>
      </w:r>
      <w:r>
        <w:t xml:space="preserve"> the greatest potential to reduce the gender gap. The study of advanced maths and physical science subjects in Year 12 is the second most important factor </w:t>
      </w:r>
      <w:r w:rsidR="00966739">
        <w:t>in</w:t>
      </w:r>
      <w:r>
        <w:t xml:space="preserve"> bridg</w:t>
      </w:r>
      <w:r w:rsidR="00966739">
        <w:t>ing</w:t>
      </w:r>
      <w:r>
        <w:t xml:space="preserve"> the gender gap. Self-assessment of maths competence appears to be the least important factor, but it still explains part of the gender gap</w:t>
      </w:r>
      <w:r w:rsidR="000B7ACA">
        <w:t>.</w:t>
      </w:r>
    </w:p>
    <w:p w14:paraId="6F9CA22E" w14:textId="15669F6E" w:rsidR="005A108E" w:rsidRPr="0004300D" w:rsidRDefault="005A108E" w:rsidP="00135941">
      <w:pPr>
        <w:pStyle w:val="Text"/>
      </w:pPr>
      <w:r>
        <w:t>Given the prevalence of gender egalitarian ideology since the 1970s, Australian women have been encouraged to pursue tertiary education credentials and professional occupations. Although many women thrive in their careers, the integration of women into the maths-intensive sciences has remained slow. This study implies that talented women</w:t>
      </w:r>
      <w:r w:rsidR="00316B98">
        <w:t>, those</w:t>
      </w:r>
      <w:r>
        <w:t xml:space="preserve"> who could be successful in maths-intensive fields of study and employment</w:t>
      </w:r>
      <w:r w:rsidR="00316B98">
        <w:t>,</w:t>
      </w:r>
      <w:r>
        <w:t xml:space="preserve"> already </w:t>
      </w:r>
      <w:r w:rsidR="00316B98">
        <w:t>begin</w:t>
      </w:r>
      <w:r w:rsidR="00F450DF">
        <w:t xml:space="preserve"> to </w:t>
      </w:r>
      <w:r>
        <w:t>disengag</w:t>
      </w:r>
      <w:r w:rsidR="00F450DF">
        <w:t>e</w:t>
      </w:r>
      <w:r>
        <w:t xml:space="preserve"> from maths and related disciplines early in their educational career. This phenomenon is not only a waste of individual talent and potential but also a loss for society</w:t>
      </w:r>
      <w:r w:rsidR="00F450DF">
        <w:t>,</w:t>
      </w:r>
      <w:r>
        <w:t xml:space="preserve"> as the Australian economy has a huge demand for skilled workers with strong quantitative skills (Australian Academy of Science 2016). As suggested by the theory of gender essentialism, the underrepresentation of females in maths-intensive disciplines has deep societal and structural roots</w:t>
      </w:r>
      <w:r w:rsidR="00673CC1">
        <w:t>, which</w:t>
      </w:r>
      <w:r>
        <w:t xml:space="preserve"> will not be transformed by a few isolated policy interventions. To fully unleash the potential of females in maths-related areas, we need to alleviate the gender stereotypical beliefs and social barriers associated with maths learning and careers.</w:t>
      </w:r>
    </w:p>
    <w:p w14:paraId="7A5488A1" w14:textId="77777777" w:rsidR="00B02EAA" w:rsidRDefault="00B02EAA" w:rsidP="005A108E">
      <w:pPr>
        <w:pStyle w:val="Heading2"/>
        <w:sectPr w:rsidR="00B02EAA" w:rsidSect="00AD173F">
          <w:pgSz w:w="11907" w:h="16840" w:code="9"/>
          <w:pgMar w:top="1276" w:right="2552" w:bottom="1276" w:left="1418" w:header="709" w:footer="556" w:gutter="0"/>
          <w:cols w:space="708"/>
          <w:docGrid w:linePitch="360"/>
        </w:sectPr>
      </w:pPr>
    </w:p>
    <w:p w14:paraId="6706A43D" w14:textId="67F9EF0C" w:rsidR="005A108E" w:rsidRDefault="005A108E" w:rsidP="00FB751C">
      <w:pPr>
        <w:pStyle w:val="Heading2"/>
        <w:spacing w:before="0" w:after="240"/>
      </w:pPr>
      <w:bookmarkStart w:id="192" w:name="_Toc15048940"/>
      <w:bookmarkStart w:id="193" w:name="_Toc19803953"/>
      <w:r>
        <w:lastRenderedPageBreak/>
        <w:t>References</w:t>
      </w:r>
      <w:bookmarkEnd w:id="192"/>
      <w:bookmarkEnd w:id="193"/>
    </w:p>
    <w:p w14:paraId="04D796CC" w14:textId="6478EDE7" w:rsidR="005A108E" w:rsidRPr="001C4F51" w:rsidRDefault="005A108E" w:rsidP="00B02EAA">
      <w:pPr>
        <w:pStyle w:val="References"/>
      </w:pPr>
      <w:r>
        <w:t xml:space="preserve">Australian Academy of Science 2016, </w:t>
      </w:r>
      <w:r>
        <w:rPr>
          <w:i/>
        </w:rPr>
        <w:t>The mathematical sciences in Australia: a vision for 2015</w:t>
      </w:r>
      <w:r>
        <w:t>, Australian Academy of Science</w:t>
      </w:r>
      <w:r w:rsidR="004D39F1">
        <w:t>,</w:t>
      </w:r>
      <w:r w:rsidR="004D39F1" w:rsidRPr="004D39F1">
        <w:t xml:space="preserve"> </w:t>
      </w:r>
      <w:r w:rsidR="004D39F1">
        <w:t>Canberra</w:t>
      </w:r>
      <w:r>
        <w:t>.</w:t>
      </w:r>
    </w:p>
    <w:p w14:paraId="5DC0D365" w14:textId="7F507F0D" w:rsidR="005A108E" w:rsidRPr="001C4F51" w:rsidRDefault="005A108E" w:rsidP="00B02EAA">
      <w:pPr>
        <w:pStyle w:val="References"/>
      </w:pPr>
      <w:proofErr w:type="spellStart"/>
      <w:r>
        <w:t>Blau</w:t>
      </w:r>
      <w:proofErr w:type="spellEnd"/>
      <w:r>
        <w:t xml:space="preserve">, FD, Brinton, MC &amp; </w:t>
      </w:r>
      <w:proofErr w:type="spellStart"/>
      <w:r>
        <w:t>Grusky</w:t>
      </w:r>
      <w:proofErr w:type="spellEnd"/>
      <w:r>
        <w:t>, DB (</w:t>
      </w:r>
      <w:r w:rsidR="004D39F1">
        <w:t>eds</w:t>
      </w:r>
      <w:r>
        <w:t xml:space="preserve">) 2006, </w:t>
      </w:r>
      <w:r>
        <w:rPr>
          <w:i/>
        </w:rPr>
        <w:t xml:space="preserve">The declining significance of </w:t>
      </w:r>
      <w:r w:rsidR="0041525B">
        <w:rPr>
          <w:i/>
        </w:rPr>
        <w:t>g</w:t>
      </w:r>
      <w:r>
        <w:rPr>
          <w:i/>
        </w:rPr>
        <w:t>ender?</w:t>
      </w:r>
      <w:r>
        <w:t>, Russell Sage Foundation</w:t>
      </w:r>
      <w:r w:rsidR="004D39F1">
        <w:t>,</w:t>
      </w:r>
      <w:r w:rsidR="004D39F1" w:rsidRPr="004D39F1">
        <w:t xml:space="preserve"> </w:t>
      </w:r>
      <w:r w:rsidR="004D39F1">
        <w:t>New York</w:t>
      </w:r>
      <w:r>
        <w:t>.</w:t>
      </w:r>
    </w:p>
    <w:p w14:paraId="497AA7E0" w14:textId="3A6881C8" w:rsidR="005A108E" w:rsidRPr="001C4F51" w:rsidRDefault="005A108E" w:rsidP="00B02EAA">
      <w:pPr>
        <w:pStyle w:val="References"/>
      </w:pPr>
      <w:proofErr w:type="spellStart"/>
      <w:r>
        <w:t>Ceci</w:t>
      </w:r>
      <w:proofErr w:type="spellEnd"/>
      <w:r>
        <w:t>, SJ &amp; Williams,</w:t>
      </w:r>
      <w:r w:rsidR="004D39F1">
        <w:t xml:space="preserve"> </w:t>
      </w:r>
      <w:r>
        <w:t xml:space="preserve">WM 2010a, </w:t>
      </w:r>
      <w:proofErr w:type="gramStart"/>
      <w:r>
        <w:rPr>
          <w:i/>
        </w:rPr>
        <w:t>The</w:t>
      </w:r>
      <w:proofErr w:type="gramEnd"/>
      <w:r>
        <w:rPr>
          <w:i/>
        </w:rPr>
        <w:t xml:space="preserve"> mathematics of sex: </w:t>
      </w:r>
      <w:r w:rsidR="004D39F1">
        <w:rPr>
          <w:i/>
        </w:rPr>
        <w:t>h</w:t>
      </w:r>
      <w:r>
        <w:rPr>
          <w:i/>
        </w:rPr>
        <w:t>ow biology and society conspire to limit talented women and girls</w:t>
      </w:r>
      <w:r>
        <w:t>, Oxford University Press</w:t>
      </w:r>
      <w:r w:rsidR="004D39F1">
        <w:t>,</w:t>
      </w:r>
      <w:r w:rsidR="004D39F1" w:rsidRPr="004D39F1">
        <w:t xml:space="preserve"> </w:t>
      </w:r>
      <w:r w:rsidR="004D39F1">
        <w:t>New York</w:t>
      </w:r>
      <w:r>
        <w:t>.</w:t>
      </w:r>
    </w:p>
    <w:p w14:paraId="01872295" w14:textId="4E5402E3" w:rsidR="005A108E" w:rsidRPr="001C4F51" w:rsidRDefault="004D39F1" w:rsidP="00B02EAA">
      <w:pPr>
        <w:pStyle w:val="References"/>
      </w:pPr>
      <w:r>
        <w:t>−−</w:t>
      </w:r>
      <w:r w:rsidR="005A108E">
        <w:t xml:space="preserve">2010b, ‘Sex differences in math-intensive fields’, </w:t>
      </w:r>
      <w:r w:rsidR="005A108E">
        <w:rPr>
          <w:i/>
        </w:rPr>
        <w:t>Current Directions in Psychological Science</w:t>
      </w:r>
      <w:r w:rsidR="005A108E">
        <w:t>, vol.19, no.5, pp.275</w:t>
      </w:r>
      <w:r>
        <w:t>−</w:t>
      </w:r>
      <w:r w:rsidR="005A108E">
        <w:t>79.</w:t>
      </w:r>
    </w:p>
    <w:p w14:paraId="38465850" w14:textId="461EC5D7" w:rsidR="005A108E" w:rsidRPr="001C4F51" w:rsidRDefault="005A108E" w:rsidP="00B02EAA">
      <w:pPr>
        <w:pStyle w:val="References"/>
      </w:pPr>
      <w:r>
        <w:t xml:space="preserve">Charles, M &amp; Bradley, K 2009, ‘Indulging our gendered selves? Sex segregation by field of study in 44 countries’, </w:t>
      </w:r>
      <w:r>
        <w:rPr>
          <w:i/>
        </w:rPr>
        <w:t>America</w:t>
      </w:r>
      <w:r w:rsidR="004D39F1">
        <w:rPr>
          <w:i/>
        </w:rPr>
        <w:t>n</w:t>
      </w:r>
      <w:r>
        <w:rPr>
          <w:i/>
        </w:rPr>
        <w:t xml:space="preserve"> Journal of Sociology</w:t>
      </w:r>
      <w:r>
        <w:t>, vol.114, no.4, pp.924</w:t>
      </w:r>
      <w:r w:rsidR="004D39F1">
        <w:t>−</w:t>
      </w:r>
      <w:r>
        <w:t>76.</w:t>
      </w:r>
    </w:p>
    <w:p w14:paraId="7DB6D904" w14:textId="0740B142" w:rsidR="005A108E" w:rsidRPr="001C4F51" w:rsidRDefault="005A108E" w:rsidP="00B02EAA">
      <w:pPr>
        <w:pStyle w:val="References"/>
      </w:pPr>
      <w:proofErr w:type="spellStart"/>
      <w:r>
        <w:t>Correll</w:t>
      </w:r>
      <w:proofErr w:type="spellEnd"/>
      <w:r>
        <w:t xml:space="preserve">, SJ 2001, ‘Gender and the career choice process: the role of biased self-assessments’, </w:t>
      </w:r>
      <w:r>
        <w:rPr>
          <w:i/>
        </w:rPr>
        <w:t>American Journal of Sociology</w:t>
      </w:r>
      <w:r>
        <w:t>, vol.106, no.6, pp.1691</w:t>
      </w:r>
      <w:r w:rsidR="002D3453">
        <w:t>−</w:t>
      </w:r>
      <w:r>
        <w:t>730.</w:t>
      </w:r>
    </w:p>
    <w:p w14:paraId="6AB05F98" w14:textId="6E839E2C" w:rsidR="005A108E" w:rsidRPr="00245694" w:rsidRDefault="005A108E" w:rsidP="00B02EAA">
      <w:pPr>
        <w:pStyle w:val="References"/>
      </w:pPr>
      <w:r>
        <w:t xml:space="preserve">Gerber </w:t>
      </w:r>
      <w:r w:rsidR="007A61C2">
        <w:t>TP</w:t>
      </w:r>
      <w:r w:rsidR="007E7C2C">
        <w:t xml:space="preserve"> </w:t>
      </w:r>
      <w:r>
        <w:t xml:space="preserve">&amp; Cheung </w:t>
      </w:r>
      <w:r w:rsidR="007E7C2C">
        <w:t xml:space="preserve">SY </w:t>
      </w:r>
      <w:r>
        <w:t>2008</w:t>
      </w:r>
      <w:r w:rsidR="007E7C2C">
        <w:t xml:space="preserve">, ‘Horizontal stratification in postsecondary education: forms, explanations and implications’, </w:t>
      </w:r>
      <w:r w:rsidR="007E7C2C" w:rsidRPr="00FD5BB4">
        <w:rPr>
          <w:i/>
        </w:rPr>
        <w:t>Annual Review of Sociology</w:t>
      </w:r>
      <w:r w:rsidR="007E7C2C">
        <w:t>, vol.34, pp.299</w:t>
      </w:r>
      <w:r w:rsidR="004D39F1">
        <w:t>−</w:t>
      </w:r>
      <w:r w:rsidR="007E7C2C">
        <w:t>318</w:t>
      </w:r>
      <w:r w:rsidR="004D39F1">
        <w:t>.</w:t>
      </w:r>
    </w:p>
    <w:p w14:paraId="0B502EDA" w14:textId="59191A20" w:rsidR="005A108E" w:rsidRPr="00952E3F" w:rsidRDefault="005A108E" w:rsidP="00B02EAA">
      <w:pPr>
        <w:pStyle w:val="References"/>
      </w:pPr>
      <w:r>
        <w:t xml:space="preserve">Graduate Careers Australia 2014, </w:t>
      </w:r>
      <w:r>
        <w:rPr>
          <w:i/>
        </w:rPr>
        <w:t>An analysis of the gender wage gap in the Australian graduate labour market, 2013</w:t>
      </w:r>
      <w:r>
        <w:t>, Graduate Careers Australia</w:t>
      </w:r>
      <w:r w:rsidR="004D39F1">
        <w:t>,</w:t>
      </w:r>
      <w:r w:rsidR="004D39F1" w:rsidRPr="004D39F1">
        <w:t xml:space="preserve"> </w:t>
      </w:r>
      <w:r w:rsidR="004D39F1">
        <w:t>Melbourne</w:t>
      </w:r>
      <w:r>
        <w:t>.</w:t>
      </w:r>
    </w:p>
    <w:p w14:paraId="1E221280" w14:textId="12A5E4E4" w:rsidR="005A108E" w:rsidRPr="00952E3F" w:rsidRDefault="005A108E" w:rsidP="00B02EAA">
      <w:pPr>
        <w:pStyle w:val="References"/>
      </w:pPr>
      <w:r>
        <w:t xml:space="preserve">Karlson, KB, Holm, A &amp; Breen, R 2012, ‘Comparing regression coefficients between same-sample nested models using logit and </w:t>
      </w:r>
      <w:proofErr w:type="spellStart"/>
      <w:r>
        <w:t>probit</w:t>
      </w:r>
      <w:proofErr w:type="spellEnd"/>
      <w:r>
        <w:t xml:space="preserve">: </w:t>
      </w:r>
      <w:r w:rsidR="004D39F1">
        <w:t>a</w:t>
      </w:r>
      <w:r>
        <w:t xml:space="preserve"> new method’, </w:t>
      </w:r>
      <w:r>
        <w:rPr>
          <w:i/>
        </w:rPr>
        <w:t>Sociological Methodology</w:t>
      </w:r>
      <w:r>
        <w:t>, vol.42, no.1, pp.286</w:t>
      </w:r>
      <w:r w:rsidR="001869F6">
        <w:t>−</w:t>
      </w:r>
      <w:r>
        <w:t>313.</w:t>
      </w:r>
    </w:p>
    <w:p w14:paraId="1C2C7FE9" w14:textId="5F429E3E" w:rsidR="005A108E" w:rsidRPr="00952E3F" w:rsidRDefault="005A108E" w:rsidP="00B02EAA">
      <w:pPr>
        <w:pStyle w:val="References"/>
      </w:pPr>
      <w:r>
        <w:t xml:space="preserve">Law, H 2018, ‘Gender and mathematics: </w:t>
      </w:r>
      <w:r w:rsidR="001869F6">
        <w:t>p</w:t>
      </w:r>
      <w:r>
        <w:t xml:space="preserve">athways to mathematically intensive fields of study in Australia’, </w:t>
      </w:r>
      <w:r>
        <w:rPr>
          <w:i/>
        </w:rPr>
        <w:t>Advances in Life Course Research</w:t>
      </w:r>
      <w:r>
        <w:t>, vol.37, pp.42</w:t>
      </w:r>
      <w:r w:rsidR="002D3453">
        <w:t>−</w:t>
      </w:r>
      <w:r>
        <w:t>56.</w:t>
      </w:r>
    </w:p>
    <w:p w14:paraId="7233C517" w14:textId="3776A4A6" w:rsidR="005A108E" w:rsidRDefault="005A108E" w:rsidP="00B02EAA">
      <w:pPr>
        <w:pStyle w:val="References"/>
      </w:pPr>
      <w:r>
        <w:t xml:space="preserve">Tai, RH, Li, CQ, Maltese, AV &amp; Fan, X 2006, ‘Planning early for careers in science’, </w:t>
      </w:r>
      <w:r>
        <w:rPr>
          <w:i/>
        </w:rPr>
        <w:t>Science</w:t>
      </w:r>
      <w:r>
        <w:t>, vol.312, no.5777, pp.1143</w:t>
      </w:r>
      <w:r w:rsidR="002D3453">
        <w:t>−</w:t>
      </w:r>
      <w:r>
        <w:t>4.</w:t>
      </w:r>
    </w:p>
    <w:p w14:paraId="471CED14" w14:textId="77777777" w:rsidR="005A108E" w:rsidRDefault="005A108E" w:rsidP="005A108E">
      <w:r>
        <w:br w:type="page"/>
      </w:r>
    </w:p>
    <w:p w14:paraId="41127287" w14:textId="58946330" w:rsidR="007A7EF1" w:rsidRDefault="007A7EF1" w:rsidP="00E612BF">
      <w:pPr>
        <w:pStyle w:val="Heading1"/>
      </w:pPr>
      <w:bookmarkStart w:id="194" w:name="_Toc19803954"/>
      <w:r>
        <w:lastRenderedPageBreak/>
        <w:t>Juxtaposing math</w:t>
      </w:r>
      <w:r w:rsidR="00825EE4">
        <w:t>s</w:t>
      </w:r>
      <w:r>
        <w:t xml:space="preserve"> self-efficacy and self-concept as predictors of long-term achievement outcomes</w:t>
      </w:r>
      <w:bookmarkEnd w:id="194"/>
    </w:p>
    <w:p w14:paraId="7BC08B3E" w14:textId="4D194FEA" w:rsidR="007A7EF1" w:rsidRPr="004E6B9E" w:rsidRDefault="007A7EF1" w:rsidP="007A7EF1">
      <w:pPr>
        <w:pStyle w:val="Text"/>
        <w:rPr>
          <w:i/>
          <w:sz w:val="22"/>
          <w:szCs w:val="22"/>
        </w:rPr>
      </w:pPr>
      <w:r w:rsidRPr="004E6B9E">
        <w:rPr>
          <w:i/>
          <w:sz w:val="22"/>
          <w:szCs w:val="22"/>
        </w:rPr>
        <w:t>Philip Parker</w:t>
      </w:r>
      <w:r w:rsidR="00D12EF8">
        <w:rPr>
          <w:i/>
          <w:sz w:val="22"/>
          <w:szCs w:val="22"/>
        </w:rPr>
        <w:t>, Australian Catholic University</w:t>
      </w:r>
    </w:p>
    <w:p w14:paraId="0BAD1147" w14:textId="65835824" w:rsidR="00113286" w:rsidRPr="00AE7935" w:rsidRDefault="00113286" w:rsidP="007A7EF1">
      <w:pPr>
        <w:pStyle w:val="Text"/>
        <w:rPr>
          <w:i/>
          <w:szCs w:val="19"/>
        </w:rPr>
      </w:pPr>
      <w:r w:rsidRPr="003E66BE">
        <w:rPr>
          <w:i/>
          <w:iCs/>
        </w:rPr>
        <w:t xml:space="preserve">The following </w:t>
      </w:r>
      <w:r w:rsidR="00E94301" w:rsidRPr="003E66BE">
        <w:rPr>
          <w:i/>
          <w:iCs/>
        </w:rPr>
        <w:t xml:space="preserve">is a summary of </w:t>
      </w:r>
      <w:r w:rsidR="00043BA6" w:rsidRPr="002001C5">
        <w:rPr>
          <w:i/>
          <w:szCs w:val="19"/>
        </w:rPr>
        <w:t>Parker,</w:t>
      </w:r>
      <w:r w:rsidR="00AE7935">
        <w:rPr>
          <w:i/>
          <w:szCs w:val="19"/>
        </w:rPr>
        <w:t xml:space="preserve"> PD, </w:t>
      </w:r>
      <w:r w:rsidR="00043BA6" w:rsidRPr="002001C5">
        <w:rPr>
          <w:i/>
          <w:szCs w:val="19"/>
        </w:rPr>
        <w:t>Marsh,</w:t>
      </w:r>
      <w:r w:rsidR="00AE7935">
        <w:rPr>
          <w:i/>
          <w:szCs w:val="19"/>
        </w:rPr>
        <w:t xml:space="preserve"> HW,</w:t>
      </w:r>
      <w:r w:rsidR="00043BA6" w:rsidRPr="002001C5">
        <w:rPr>
          <w:i/>
          <w:szCs w:val="19"/>
        </w:rPr>
        <w:t xml:space="preserve"> </w:t>
      </w:r>
      <w:proofErr w:type="spellStart"/>
      <w:r w:rsidR="00043BA6" w:rsidRPr="002001C5">
        <w:rPr>
          <w:i/>
          <w:szCs w:val="19"/>
        </w:rPr>
        <w:t>Ciarrochi</w:t>
      </w:r>
      <w:proofErr w:type="spellEnd"/>
      <w:r w:rsidR="00043BA6" w:rsidRPr="002001C5">
        <w:rPr>
          <w:i/>
          <w:szCs w:val="19"/>
        </w:rPr>
        <w:t>,</w:t>
      </w:r>
      <w:r w:rsidR="00AE7935">
        <w:rPr>
          <w:i/>
          <w:szCs w:val="19"/>
        </w:rPr>
        <w:t xml:space="preserve"> J,</w:t>
      </w:r>
      <w:r w:rsidR="00043BA6" w:rsidRPr="002001C5">
        <w:rPr>
          <w:i/>
          <w:szCs w:val="19"/>
        </w:rPr>
        <w:t xml:space="preserve"> Marshall,</w:t>
      </w:r>
      <w:r w:rsidR="00AE7935">
        <w:rPr>
          <w:i/>
          <w:szCs w:val="19"/>
        </w:rPr>
        <w:t xml:space="preserve"> S</w:t>
      </w:r>
      <w:r w:rsidR="00043BA6" w:rsidRPr="002001C5">
        <w:rPr>
          <w:i/>
          <w:szCs w:val="19"/>
        </w:rPr>
        <w:t xml:space="preserve"> </w:t>
      </w:r>
      <w:r w:rsidR="00AE7935">
        <w:rPr>
          <w:i/>
          <w:szCs w:val="19"/>
        </w:rPr>
        <w:t>&amp;</w:t>
      </w:r>
      <w:r w:rsidR="00903A76" w:rsidRPr="002001C5">
        <w:rPr>
          <w:i/>
          <w:szCs w:val="19"/>
        </w:rPr>
        <w:t xml:space="preserve"> </w:t>
      </w:r>
      <w:proofErr w:type="spellStart"/>
      <w:r w:rsidR="00043BA6" w:rsidRPr="002001C5">
        <w:rPr>
          <w:i/>
          <w:szCs w:val="19"/>
        </w:rPr>
        <w:t>Abduljabbar</w:t>
      </w:r>
      <w:proofErr w:type="spellEnd"/>
      <w:r w:rsidR="00043BA6" w:rsidRPr="002001C5">
        <w:rPr>
          <w:i/>
          <w:szCs w:val="19"/>
        </w:rPr>
        <w:t>,</w:t>
      </w:r>
      <w:r w:rsidR="00EB26C1">
        <w:rPr>
          <w:i/>
          <w:szCs w:val="19"/>
        </w:rPr>
        <w:t xml:space="preserve"> AS,</w:t>
      </w:r>
      <w:r w:rsidR="00AE7935">
        <w:rPr>
          <w:i/>
          <w:szCs w:val="19"/>
        </w:rPr>
        <w:t xml:space="preserve"> </w:t>
      </w:r>
      <w:r w:rsidR="00043BA6" w:rsidRPr="002001C5">
        <w:rPr>
          <w:i/>
          <w:szCs w:val="19"/>
        </w:rPr>
        <w:t>‘Juxtaposing math self-efficacy and self-concept as predictors of long-term achievement outcomes</w:t>
      </w:r>
      <w:r w:rsidR="00AE7935">
        <w:rPr>
          <w:i/>
          <w:szCs w:val="19"/>
        </w:rPr>
        <w:t xml:space="preserve">, </w:t>
      </w:r>
      <w:r w:rsidR="00AE7935">
        <w:rPr>
          <w:szCs w:val="19"/>
        </w:rPr>
        <w:t>Educational Psychology</w:t>
      </w:r>
      <w:r w:rsidR="00AE7935">
        <w:rPr>
          <w:i/>
          <w:szCs w:val="19"/>
        </w:rPr>
        <w:t>, vol.34, pp. 29-48.</w:t>
      </w:r>
    </w:p>
    <w:p w14:paraId="45A5465A" w14:textId="6FF6EAF3" w:rsidR="007A7EF1" w:rsidRDefault="007A7EF1" w:rsidP="00BF1274">
      <w:pPr>
        <w:pStyle w:val="Text"/>
      </w:pPr>
      <w:r>
        <w:t xml:space="preserve">Theories of skill-biased technological change have highlighted the increasing returns that come from investing in higher education (Goldin &amp; Katz 2007). Australia has recognised the implications of this change and has focused policy on increasing higher education in efforts to remain internationally competitive. The Bradley </w:t>
      </w:r>
      <w:r w:rsidR="006F4DE2">
        <w:t>review</w:t>
      </w:r>
      <w:r>
        <w:t xml:space="preserve"> </w:t>
      </w:r>
      <w:r w:rsidR="005F35ED">
        <w:t xml:space="preserve">of 2008 </w:t>
      </w:r>
      <w:r>
        <w:t>raised concerns about the wast</w:t>
      </w:r>
      <w:r w:rsidR="005F35ED">
        <w:t>e</w:t>
      </w:r>
      <w:r>
        <w:t xml:space="preserve"> of talent that diminished Australia’s international competitiveness due to declining numbers of people with a tertiary degree (Bradley et al. </w:t>
      </w:r>
      <w:r w:rsidR="00BF1274">
        <w:t>2008</w:t>
      </w:r>
      <w:r>
        <w:t>). In 2011,</w:t>
      </w:r>
      <w:r w:rsidR="00EB26C1">
        <w:t xml:space="preserve"> Senator Christopher Evans,</w:t>
      </w:r>
      <w:r>
        <w:t xml:space="preserve"> </w:t>
      </w:r>
      <w:r w:rsidR="00B83EE3">
        <w:t xml:space="preserve">the </w:t>
      </w:r>
      <w:r>
        <w:t xml:space="preserve">then Minister </w:t>
      </w:r>
      <w:r w:rsidR="004B4911">
        <w:t xml:space="preserve">for </w:t>
      </w:r>
      <w:r w:rsidR="00AE7935">
        <w:t>Tertiary Education, Skills, Jobs, and Workplace Relations</w:t>
      </w:r>
      <w:r w:rsidR="00EB26C1">
        <w:t>,</w:t>
      </w:r>
      <w:r>
        <w:t xml:space="preserve"> argued</w:t>
      </w:r>
      <w:r w:rsidR="00B83EE3">
        <w:t xml:space="preserve"> that </w:t>
      </w:r>
      <w:r>
        <w:t xml:space="preserve">it was critical to cultivate the capability of </w:t>
      </w:r>
      <w:r w:rsidR="00B83EE3">
        <w:t>‘</w:t>
      </w:r>
      <w:r>
        <w:t>the reserve of talented young Australians who don’t consider university as an option for them</w:t>
      </w:r>
      <w:r w:rsidR="00B83EE3">
        <w:t>’</w:t>
      </w:r>
      <w:r>
        <w:t xml:space="preserve">. </w:t>
      </w:r>
      <w:r w:rsidR="002F272D">
        <w:t>In 201</w:t>
      </w:r>
      <w:r w:rsidR="00EB26C1">
        <w:t>2</w:t>
      </w:r>
      <w:r w:rsidR="002F272D">
        <w:t xml:space="preserve"> t</w:t>
      </w:r>
      <w:r>
        <w:t xml:space="preserve">he </w:t>
      </w:r>
      <w:r w:rsidR="00EB26C1">
        <w:t>P</w:t>
      </w:r>
      <w:r>
        <w:t xml:space="preserve">rime </w:t>
      </w:r>
      <w:r w:rsidR="00EB26C1">
        <w:t>M</w:t>
      </w:r>
      <w:r>
        <w:t>inister</w:t>
      </w:r>
      <w:r w:rsidR="002F272D">
        <w:t>, Julia</w:t>
      </w:r>
      <w:r w:rsidR="00B83EE3">
        <w:t xml:space="preserve"> </w:t>
      </w:r>
      <w:r>
        <w:t>Gillard emphasi</w:t>
      </w:r>
      <w:r w:rsidR="004B4911">
        <w:t>s</w:t>
      </w:r>
      <w:r>
        <w:t>ed</w:t>
      </w:r>
      <w:r w:rsidR="00EB26C1">
        <w:t xml:space="preserve"> that</w:t>
      </w:r>
      <w:r>
        <w:t xml:space="preserve"> </w:t>
      </w:r>
      <w:r w:rsidR="002F272D">
        <w:t>‘</w:t>
      </w:r>
      <w:r>
        <w:t>to win the economic race, we must first win the education race. For our children to get the jobs of the future, we must give them a great education now</w:t>
      </w:r>
      <w:r w:rsidR="002F272D">
        <w:t>’</w:t>
      </w:r>
      <w:r>
        <w:t>.</w:t>
      </w:r>
    </w:p>
    <w:p w14:paraId="7088D757" w14:textId="35A2B5D2" w:rsidR="007A7EF1" w:rsidRDefault="007A7EF1" w:rsidP="00BF1274">
      <w:pPr>
        <w:pStyle w:val="Text"/>
      </w:pPr>
      <w:r>
        <w:t>Much of the focus on increasing young people’s chances of entering higher education has been on improving retention through schooling, providing programs to disadvantaged youth, and intervening to improve young people’s academic skills. Yet, the choice to enter university is not only dependent on children’s intellectual ability or position in society</w:t>
      </w:r>
      <w:r w:rsidR="00583A0E">
        <w:t>: n</w:t>
      </w:r>
      <w:r>
        <w:t>on-cognitive factors</w:t>
      </w:r>
      <w:r w:rsidR="002F272D">
        <w:t xml:space="preserve"> </w:t>
      </w:r>
      <w:r>
        <w:t>—</w:t>
      </w:r>
      <w:r w:rsidR="002F272D">
        <w:t xml:space="preserve"> </w:t>
      </w:r>
      <w:r>
        <w:t>motivation, self-concept and self-regulation</w:t>
      </w:r>
      <w:r w:rsidR="002F272D">
        <w:t xml:space="preserve"> </w:t>
      </w:r>
      <w:r>
        <w:t>—</w:t>
      </w:r>
      <w:r w:rsidR="002F272D">
        <w:t xml:space="preserve"> </w:t>
      </w:r>
      <w:r w:rsidR="003C48E4">
        <w:t xml:space="preserve">are </w:t>
      </w:r>
      <w:r>
        <w:t>also factor</w:t>
      </w:r>
      <w:r w:rsidR="003C48E4">
        <w:t>s</w:t>
      </w:r>
      <w:r w:rsidR="00972614">
        <w:t xml:space="preserve"> that</w:t>
      </w:r>
      <w:r>
        <w:t xml:space="preserve"> </w:t>
      </w:r>
      <w:r w:rsidR="003C48E4">
        <w:t>determin</w:t>
      </w:r>
      <w:r w:rsidR="00972614">
        <w:t>e</w:t>
      </w:r>
      <w:r>
        <w:t xml:space="preserve"> how young people make choices. Focusing on non-cognitive development is a move in the right direction. But more research</w:t>
      </w:r>
      <w:r w:rsidR="00DF2949">
        <w:t xml:space="preserve"> is needed</w:t>
      </w:r>
      <w:r>
        <w:t xml:space="preserve"> </w:t>
      </w:r>
      <w:r w:rsidR="00971793">
        <w:t>into</w:t>
      </w:r>
      <w:r>
        <w:t xml:space="preserve"> which non-cognitive factors are important for which outcomes. Here, I summarise research I undertook on the role that math</w:t>
      </w:r>
      <w:r w:rsidR="00F3775A">
        <w:t>s</w:t>
      </w:r>
      <w:r>
        <w:t xml:space="preserve"> self-efficacy and math</w:t>
      </w:r>
      <w:r w:rsidR="00F3775A">
        <w:t>s</w:t>
      </w:r>
      <w:r>
        <w:t xml:space="preserve"> self-concept may play in predicting: future achievement</w:t>
      </w:r>
      <w:r w:rsidR="00F3775A">
        <w:t>;</w:t>
      </w:r>
      <w:r>
        <w:t xml:space="preserve"> university entry</w:t>
      </w:r>
      <w:r w:rsidR="00F3775A">
        <w:t>; and</w:t>
      </w:r>
      <w:r>
        <w:t xml:space="preserve"> university course selection</w:t>
      </w:r>
      <w:r w:rsidR="00067955">
        <w:t>,</w:t>
      </w:r>
      <w:r>
        <w:t xml:space="preserve"> using the 2003 cohort of</w:t>
      </w:r>
      <w:r w:rsidR="00EB26C1">
        <w:t xml:space="preserve"> the Longitudinal Surveys of Australian Youth</w:t>
      </w:r>
      <w:r>
        <w:t xml:space="preserve"> </w:t>
      </w:r>
      <w:r w:rsidR="00EB26C1">
        <w:t>(</w:t>
      </w:r>
      <w:r>
        <w:t>LSAY</w:t>
      </w:r>
      <w:r w:rsidR="00EB26C1">
        <w:t>)</w:t>
      </w:r>
      <w:r>
        <w:t>.</w:t>
      </w:r>
    </w:p>
    <w:p w14:paraId="4CBA0CFB" w14:textId="77777777" w:rsidR="007A7EF1" w:rsidRDefault="007A7EF1" w:rsidP="007A7EF1">
      <w:pPr>
        <w:pStyle w:val="Heading2"/>
      </w:pPr>
      <w:bookmarkStart w:id="195" w:name="_Toc15048942"/>
      <w:bookmarkStart w:id="196" w:name="_Toc19803955"/>
      <w:r>
        <w:t>Self-beliefs</w:t>
      </w:r>
      <w:bookmarkEnd w:id="195"/>
      <w:bookmarkEnd w:id="196"/>
    </w:p>
    <w:p w14:paraId="1890D413" w14:textId="46B455BF" w:rsidR="007A7EF1" w:rsidRDefault="007A7EF1" w:rsidP="00E36EE2">
      <w:pPr>
        <w:pStyle w:val="Text"/>
      </w:pPr>
      <w:r>
        <w:t xml:space="preserve">Self-beliefs predict a range of important outcomes across several life domains (Bandura 1986; Marsh 2007). Research has shown that self-efficacy plays an important role in task choice, achievement goals and goal pursuit (see Bong &amp; </w:t>
      </w:r>
      <w:proofErr w:type="spellStart"/>
      <w:r>
        <w:t>Skaalvik</w:t>
      </w:r>
      <w:proofErr w:type="spellEnd"/>
      <w:r>
        <w:t xml:space="preserve"> 2003; Marsh, Walker &amp; Debus 1991). In addition, there is now extensive evidence that self-efficacy predicts academic achievement</w:t>
      </w:r>
      <w:r w:rsidR="00863D7C">
        <w:t>,</w:t>
      </w:r>
      <w:r>
        <w:t xml:space="preserve"> controlling for prior achievement (see </w:t>
      </w:r>
      <w:proofErr w:type="spellStart"/>
      <w:r>
        <w:t>Pajares</w:t>
      </w:r>
      <w:proofErr w:type="spellEnd"/>
      <w:r>
        <w:t xml:space="preserve"> &amp; Schunk 2001). There is also convincing evidence that academic self-concept predicts later achievement</w:t>
      </w:r>
      <w:r w:rsidR="00F56FFC">
        <w:t>,</w:t>
      </w:r>
      <w:r>
        <w:t xml:space="preserve"> controlling for prior achievement (see Marsh 2007). Self-concept also predicts performance in high-stakes university entrance exams (Marks, MacMillan &amp; Hillman 2001), and university entry</w:t>
      </w:r>
      <w:r w:rsidR="00F56FFC">
        <w:t>,</w:t>
      </w:r>
      <w:r>
        <w:t xml:space="preserve"> controlling for prior achievement (Parker et al. 2012).</w:t>
      </w:r>
    </w:p>
    <w:p w14:paraId="07249D0B" w14:textId="304A40AC" w:rsidR="007A7EF1" w:rsidRDefault="007A7EF1" w:rsidP="00E36EE2">
      <w:pPr>
        <w:pStyle w:val="Text"/>
      </w:pPr>
      <w:r>
        <w:lastRenderedPageBreak/>
        <w:t>Both self-efficacy and self-concept are important predictors and yet rarely are they contrast</w:t>
      </w:r>
      <w:r w:rsidR="00F56FFC">
        <w:t>ed</w:t>
      </w:r>
      <w:r>
        <w:t xml:space="preserve"> to determine their relative contributions to academic outcomes. This may be due to a belief that they are similar. This is not the case. Children’s academic self-concepts are based on normative judgments about relative ability with</w:t>
      </w:r>
      <w:r w:rsidR="003A418D">
        <w:t>in</w:t>
      </w:r>
      <w:r>
        <w:t xml:space="preserve"> a </w:t>
      </w:r>
      <w:proofErr w:type="gramStart"/>
      <w:r>
        <w:t>particular context</w:t>
      </w:r>
      <w:proofErr w:type="gramEnd"/>
      <w:r>
        <w:t>. The context includes time (am I better today than I was yesterday), domain (am I better at math</w:t>
      </w:r>
      <w:r w:rsidR="00232F5E">
        <w:t>s</w:t>
      </w:r>
      <w:r>
        <w:t xml:space="preserve"> than I am at English), and social (am I better than my classmates; see Parker, Van </w:t>
      </w:r>
      <w:proofErr w:type="spellStart"/>
      <w:r>
        <w:t>Zanden</w:t>
      </w:r>
      <w:proofErr w:type="spellEnd"/>
      <w:r>
        <w:t xml:space="preserve"> &amp; Parker 2018 for a review). Self-concept is usually measured by asking participants to make global judgments like ‘I am good at math</w:t>
      </w:r>
      <w:r w:rsidR="00D20F69">
        <w:t>s</w:t>
      </w:r>
      <w:r>
        <w:t>’.</w:t>
      </w:r>
    </w:p>
    <w:p w14:paraId="22A9750E" w14:textId="2C5181CA" w:rsidR="007A7EF1" w:rsidRDefault="007A7EF1" w:rsidP="00E36EE2">
      <w:pPr>
        <w:pStyle w:val="Text"/>
      </w:pPr>
      <w:r>
        <w:t>Self-efficacy measures participants’ positive beliefs about their ability to complete a specific task. For example, self-efficacy may be measured by asking a participant ‘can you calculate the area of a room in square metres</w:t>
      </w:r>
      <w:r w:rsidR="00155986">
        <w:t>?</w:t>
      </w:r>
      <w:r>
        <w:t xml:space="preserve">’. Research has found that self-efficacy and self-concept have independent though roughly equal effects on achievement (Valentine et al. 2004). However, we would not expect them to have the same effect on academic choices </w:t>
      </w:r>
      <w:r w:rsidR="00AD1158">
        <w:t>b</w:t>
      </w:r>
      <w:r>
        <w:t>ecause children form their self-concept evaluations based on their relative strengths (I think I am good at math</w:t>
      </w:r>
      <w:r w:rsidR="00D24DC1">
        <w:t>s</w:t>
      </w:r>
      <w:r w:rsidR="00756BA5">
        <w:t>,</w:t>
      </w:r>
      <w:r>
        <w:t xml:space="preserve"> both because I am better than others </w:t>
      </w:r>
      <w:r w:rsidR="00D24DC1">
        <w:t xml:space="preserve">and </w:t>
      </w:r>
      <w:r>
        <w:t>because I am better at math</w:t>
      </w:r>
      <w:r w:rsidR="00D24DC1">
        <w:t>s</w:t>
      </w:r>
      <w:r>
        <w:t xml:space="preserve"> than I am at English). This ipsative comparison of relative strengths lead</w:t>
      </w:r>
      <w:r w:rsidR="007D5A0B">
        <w:t>s</w:t>
      </w:r>
      <w:r>
        <w:t xml:space="preserve"> us to hypothesise that self-concept would be a better predictor than self-efficacy of judgments requiring youth to choose between different university courses (should I complete an engineering degree or an English literature degree</w:t>
      </w:r>
      <w:r w:rsidR="00155986">
        <w:t>?</w:t>
      </w:r>
      <w:r>
        <w:t>). We call these horizontal choices</w:t>
      </w:r>
      <w:r w:rsidR="00AE01A8">
        <w:t>,</w:t>
      </w:r>
      <w:r>
        <w:t xml:space="preserve"> and our focus was on whether youth chose to undertake degrees in </w:t>
      </w:r>
      <w:r w:rsidR="00025570">
        <w:t>science, technology, engineering, and mathematics</w:t>
      </w:r>
      <w:r w:rsidR="00AD1158">
        <w:t xml:space="preserve"> (STEM)</w:t>
      </w:r>
      <w:r>
        <w:t xml:space="preserve"> at university. Because self-efficacy is related to concrete ability, we would expect it to be a better predictor of </w:t>
      </w:r>
      <w:proofErr w:type="gramStart"/>
      <w:r>
        <w:t>whether or not</w:t>
      </w:r>
      <w:proofErr w:type="gramEnd"/>
      <w:r>
        <w:t xml:space="preserve"> to continue on in education. We call these vertical choices. For vertical choices we focused on whether youth went to university.</w:t>
      </w:r>
    </w:p>
    <w:p w14:paraId="3CC15010" w14:textId="77215CDE" w:rsidR="00155986" w:rsidRDefault="007A7EF1" w:rsidP="00842AE4">
      <w:pPr>
        <w:pStyle w:val="Text"/>
      </w:pPr>
      <w:r>
        <w:t xml:space="preserve">Putting </w:t>
      </w:r>
      <w:proofErr w:type="gramStart"/>
      <w:r>
        <w:t xml:space="preserve">all </w:t>
      </w:r>
      <w:r w:rsidR="000F19A2">
        <w:t>of</w:t>
      </w:r>
      <w:proofErr w:type="gramEnd"/>
      <w:r w:rsidR="000F19A2">
        <w:t xml:space="preserve"> </w:t>
      </w:r>
      <w:r>
        <w:t>these pieces together</w:t>
      </w:r>
      <w:r w:rsidR="000F19A2">
        <w:t>,</w:t>
      </w:r>
      <w:r>
        <w:t xml:space="preserve"> we expected achievement in math</w:t>
      </w:r>
      <w:r w:rsidR="000F19A2">
        <w:t>s</w:t>
      </w:r>
      <w:r>
        <w:t xml:space="preserve"> and science to predict math</w:t>
      </w:r>
      <w:r w:rsidR="000F19A2">
        <w:t>s</w:t>
      </w:r>
      <w:r>
        <w:t xml:space="preserve"> self-concept and self-efficacy positively. We also expected literary achievement to predict math</w:t>
      </w:r>
      <w:r w:rsidR="000F19A2">
        <w:t>s</w:t>
      </w:r>
      <w:r>
        <w:t xml:space="preserve"> self-concept negatively and not be related to self-efficacy. We then expected both self-concept and self-efficacy to predict a student’s university entrance scores</w:t>
      </w:r>
      <w:r w:rsidR="000F19A2">
        <w:t>,</w:t>
      </w:r>
      <w:r>
        <w:t xml:space="preserve"> controlling for prior achievement. University entrance scores are now called Australian Tertiary Admission Ranks </w:t>
      </w:r>
      <w:r w:rsidR="00492147">
        <w:t>(ATAR</w:t>
      </w:r>
      <w:r w:rsidR="00AD1158">
        <w:t>s</w:t>
      </w:r>
      <w:r w:rsidR="00492147">
        <w:t xml:space="preserve">) </w:t>
      </w:r>
      <w:r>
        <w:t xml:space="preserve">but at the time of testing </w:t>
      </w:r>
      <w:r w:rsidR="00492147">
        <w:t xml:space="preserve">they </w:t>
      </w:r>
      <w:r>
        <w:t>carried different names</w:t>
      </w:r>
      <w:r w:rsidR="00257759">
        <w:t>,</w:t>
      </w:r>
      <w:r>
        <w:t xml:space="preserve"> </w:t>
      </w:r>
      <w:r w:rsidR="00624895">
        <w:t>according to the state in which</w:t>
      </w:r>
      <w:r>
        <w:t xml:space="preserve"> the child was schooled. Finally, controlling for prior achievement and university entrance scores, we expected math</w:t>
      </w:r>
      <w:r w:rsidR="00624895">
        <w:t>s</w:t>
      </w:r>
      <w:r>
        <w:t xml:space="preserve"> self-efficacy to predict university entry but not STEM university majors. We expected the opposite pattern for math</w:t>
      </w:r>
      <w:r w:rsidR="00624895">
        <w:t>s</w:t>
      </w:r>
      <w:r>
        <w:t xml:space="preserve"> self-concept. This model is presented in </w:t>
      </w:r>
      <w:r w:rsidR="00624895">
        <w:t>f</w:t>
      </w:r>
      <w:r>
        <w:t>igure 1</w:t>
      </w:r>
      <w:r w:rsidR="00135941">
        <w:t>2</w:t>
      </w:r>
      <w:r>
        <w:t>.</w:t>
      </w:r>
    </w:p>
    <w:p w14:paraId="4EA52E0E" w14:textId="4AEDF872" w:rsidR="00155986" w:rsidRDefault="00842AE4" w:rsidP="00155986">
      <w:pPr>
        <w:pStyle w:val="Figuretitle"/>
      </w:pPr>
      <w:bookmarkStart w:id="197" w:name="_Toc19001698"/>
      <w:r>
        <w:rPr>
          <w:rFonts w:ascii="Times New Roman" w:hAnsi="Times New Roman"/>
          <w:noProof/>
        </w:rPr>
        <w:drawing>
          <wp:anchor distT="0" distB="0" distL="114300" distR="114300" simplePos="0" relativeHeight="252007424" behindDoc="0" locked="0" layoutInCell="1" allowOverlap="1" wp14:anchorId="7AFF31A4" wp14:editId="36CEB19F">
            <wp:simplePos x="0" y="0"/>
            <wp:positionH relativeFrom="margin">
              <wp:posOffset>132079</wp:posOffset>
            </wp:positionH>
            <wp:positionV relativeFrom="paragraph">
              <wp:posOffset>358140</wp:posOffset>
            </wp:positionV>
            <wp:extent cx="4719703" cy="20193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df"/>
                    <pic:cNvPicPr/>
                  </pic:nvPicPr>
                  <pic:blipFill rotWithShape="1">
                    <a:blip r:embed="rId48">
                      <a:extLst>
                        <a:ext uri="{28A0092B-C50C-407E-A947-70E740481C1C}">
                          <a14:useLocalDpi xmlns:a14="http://schemas.microsoft.com/office/drawing/2010/main" val="0"/>
                        </a:ext>
                      </a:extLst>
                    </a:blip>
                    <a:srcRect t="23778"/>
                    <a:stretch/>
                  </pic:blipFill>
                  <pic:spPr bwMode="auto">
                    <a:xfrm>
                      <a:off x="0" y="0"/>
                      <a:ext cx="4755118" cy="2034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5986">
        <w:t xml:space="preserve">Figure </w:t>
      </w:r>
      <w:r w:rsidR="00135941">
        <w:t>12</w:t>
      </w:r>
      <w:r>
        <w:tab/>
      </w:r>
      <w:r w:rsidR="00155986">
        <w:t>Simplified hypothesised model</w:t>
      </w:r>
      <w:bookmarkEnd w:id="197"/>
    </w:p>
    <w:p w14:paraId="1E7BF944" w14:textId="6471D49E" w:rsidR="00155986" w:rsidRDefault="00155986" w:rsidP="007A7EF1"/>
    <w:p w14:paraId="177BD376" w14:textId="77777777" w:rsidR="00155986" w:rsidRDefault="00155986" w:rsidP="007A7EF1"/>
    <w:p w14:paraId="02D0C131" w14:textId="77777777" w:rsidR="00155986" w:rsidRDefault="00155986" w:rsidP="007A7EF1"/>
    <w:p w14:paraId="727849FF" w14:textId="77777777" w:rsidR="00155986" w:rsidRDefault="00155986" w:rsidP="007A7EF1"/>
    <w:p w14:paraId="2F5065A4" w14:textId="77777777" w:rsidR="00155986" w:rsidRDefault="00155986" w:rsidP="007A7EF1"/>
    <w:p w14:paraId="33E13B85" w14:textId="77777777" w:rsidR="00155986" w:rsidRDefault="00155986" w:rsidP="007A7EF1"/>
    <w:p w14:paraId="525607E2" w14:textId="77777777" w:rsidR="00155986" w:rsidRDefault="00155986" w:rsidP="007A7EF1"/>
    <w:p w14:paraId="4212109C" w14:textId="6F48BF62" w:rsidR="00155986" w:rsidRDefault="00155986" w:rsidP="00155986">
      <w:pPr>
        <w:pStyle w:val="Source"/>
      </w:pPr>
      <w:r>
        <w:t>Note: expected positive path are in red and negative paths are in blue</w:t>
      </w:r>
    </w:p>
    <w:p w14:paraId="6013623F" w14:textId="05484C18" w:rsidR="007A7EF1" w:rsidRDefault="007A7EF1" w:rsidP="00AD173F">
      <w:pPr>
        <w:pStyle w:val="Text"/>
      </w:pPr>
      <w:r>
        <w:lastRenderedPageBreak/>
        <w:t xml:space="preserve">To test these hypotheses, we used the 2003 </w:t>
      </w:r>
      <w:r w:rsidR="00AD1158">
        <w:t>LSAY</w:t>
      </w:r>
      <w:r w:rsidR="00F31246">
        <w:t>,</w:t>
      </w:r>
      <w:r>
        <w:t xml:space="preserve"> which followed a representative sample of Australian youth from the ages of 15</w:t>
      </w:r>
      <w:r w:rsidR="00F31246">
        <w:t xml:space="preserve"> to </w:t>
      </w:r>
      <w:r>
        <w:t>22 years old. The initial time wave of this database is the 2003</w:t>
      </w:r>
      <w:r w:rsidR="00AD1158">
        <w:t xml:space="preserve"> Programme for International Student Assessment</w:t>
      </w:r>
      <w:r>
        <w:t xml:space="preserve"> </w:t>
      </w:r>
      <w:r w:rsidR="00AD1158">
        <w:t>(</w:t>
      </w:r>
      <w:r>
        <w:t>PISA</w:t>
      </w:r>
      <w:r w:rsidR="00AD1158">
        <w:t>)</w:t>
      </w:r>
      <w:r>
        <w:t xml:space="preserve"> sample</w:t>
      </w:r>
      <w:r w:rsidR="00654FC8">
        <w:t>,</w:t>
      </w:r>
      <w:r>
        <w:t xml:space="preserve"> where science, math</w:t>
      </w:r>
      <w:r w:rsidR="00654FC8">
        <w:t>s</w:t>
      </w:r>
      <w:r>
        <w:t xml:space="preserve"> and reading achievement tests, mathematics self-concept and mathematics self-efficacy were collected. We extracted university entrance scores, university entrance, and STEM major selection from the remaining waves of LSAY. We used </w:t>
      </w:r>
      <w:r w:rsidR="00E63541">
        <w:t xml:space="preserve">structural equation modelling </w:t>
      </w:r>
      <w:r>
        <w:t xml:space="preserve">using cluster robust estimation to test the model presented in </w:t>
      </w:r>
      <w:r w:rsidR="00CC23F3">
        <w:t>f</w:t>
      </w:r>
      <w:r>
        <w:t>igure 1</w:t>
      </w:r>
      <w:r w:rsidR="003A3EEB">
        <w:t>2</w:t>
      </w:r>
      <w:r>
        <w:t xml:space="preserve">. The results are presented in </w:t>
      </w:r>
      <w:r w:rsidR="00CC23F3">
        <w:t>t</w:t>
      </w:r>
      <w:r>
        <w:t>able 1</w:t>
      </w:r>
      <w:r w:rsidR="00DB7F76">
        <w:t>8</w:t>
      </w:r>
      <w:r>
        <w:t>.</w:t>
      </w:r>
    </w:p>
    <w:p w14:paraId="22CBCBD3" w14:textId="79757251" w:rsidR="007A7EF1" w:rsidRPr="003A6A3F" w:rsidRDefault="007A7EF1" w:rsidP="00464447">
      <w:pPr>
        <w:pStyle w:val="Figuretitle"/>
        <w:rPr>
          <w:rFonts w:eastAsia="Calibri"/>
        </w:rPr>
      </w:pPr>
      <w:bookmarkStart w:id="198" w:name="_Toc19001675"/>
      <w:r w:rsidRPr="003A6A3F">
        <w:rPr>
          <w:rFonts w:eastAsia="Calibri"/>
        </w:rPr>
        <w:t xml:space="preserve">Table </w:t>
      </w:r>
      <w:r w:rsidRPr="00AD173F">
        <w:rPr>
          <w:rFonts w:eastAsia="Calibri"/>
        </w:rPr>
        <w:t>1</w:t>
      </w:r>
      <w:r w:rsidR="00423C3E">
        <w:rPr>
          <w:rFonts w:eastAsia="Calibri"/>
        </w:rPr>
        <w:t>8</w:t>
      </w:r>
      <w:r w:rsidR="00842AE4">
        <w:rPr>
          <w:rFonts w:eastAsia="Calibri"/>
        </w:rPr>
        <w:tab/>
      </w:r>
      <w:r w:rsidR="00155986" w:rsidRPr="00AD173F">
        <w:rPr>
          <w:rFonts w:eastAsia="Calibri"/>
        </w:rPr>
        <w:t xml:space="preserve">Model </w:t>
      </w:r>
      <w:r w:rsidR="00CC23F3" w:rsidRPr="00AD173F">
        <w:rPr>
          <w:rFonts w:eastAsia="Calibri"/>
        </w:rPr>
        <w:t>results: adjusted for covariates</w:t>
      </w:r>
      <w:bookmarkEnd w:id="198"/>
    </w:p>
    <w:tbl>
      <w:tblPr>
        <w:tblpPr w:leftFromText="180" w:rightFromText="180" w:vertAnchor="text" w:tblpY="1"/>
        <w:tblOverlap w:val="never"/>
        <w:tblW w:w="0" w:type="auto"/>
        <w:tblBorders>
          <w:top w:val="single" w:sz="4" w:space="0" w:color="00000A"/>
        </w:tblBorders>
        <w:tblCellMar>
          <w:left w:w="10" w:type="dxa"/>
          <w:right w:w="10" w:type="dxa"/>
        </w:tblCellMar>
        <w:tblLook w:val="0000" w:firstRow="0" w:lastRow="0" w:firstColumn="0" w:lastColumn="0" w:noHBand="0" w:noVBand="0"/>
      </w:tblPr>
      <w:tblGrid>
        <w:gridCol w:w="1464"/>
        <w:gridCol w:w="38"/>
        <w:gridCol w:w="1050"/>
        <w:gridCol w:w="1134"/>
        <w:gridCol w:w="1597"/>
        <w:gridCol w:w="1396"/>
        <w:gridCol w:w="1258"/>
      </w:tblGrid>
      <w:tr w:rsidR="007A7EF1" w:rsidRPr="003A6A3F" w14:paraId="6D538077" w14:textId="77777777" w:rsidTr="00D6399F">
        <w:trPr>
          <w:trHeight w:val="529"/>
        </w:trPr>
        <w:tc>
          <w:tcPr>
            <w:tcW w:w="1464" w:type="dxa"/>
            <w:tcBorders>
              <w:top w:val="single" w:sz="6" w:space="0" w:color="auto"/>
              <w:bottom w:val="single" w:sz="4" w:space="0" w:color="00000A"/>
            </w:tcBorders>
            <w:shd w:val="clear" w:color="auto" w:fill="FFFFFF"/>
            <w:tcMar>
              <w:top w:w="0" w:type="dxa"/>
              <w:left w:w="10" w:type="dxa"/>
              <w:bottom w:w="0" w:type="dxa"/>
              <w:right w:w="10" w:type="dxa"/>
            </w:tcMar>
          </w:tcPr>
          <w:p w14:paraId="7F571C5D" w14:textId="77777777" w:rsidR="007A7EF1" w:rsidRPr="003A6A3F" w:rsidRDefault="007A7EF1" w:rsidP="00155986">
            <w:pPr>
              <w:pStyle w:val="Tabletext"/>
              <w:rPr>
                <w:rFonts w:eastAsia="Calibri"/>
              </w:rPr>
            </w:pPr>
          </w:p>
        </w:tc>
        <w:tc>
          <w:tcPr>
            <w:tcW w:w="38" w:type="dxa"/>
            <w:tcBorders>
              <w:top w:val="single" w:sz="6" w:space="0" w:color="auto"/>
              <w:bottom w:val="single" w:sz="4" w:space="0" w:color="00000A"/>
            </w:tcBorders>
            <w:shd w:val="clear" w:color="auto" w:fill="FFFFFF"/>
            <w:tcMar>
              <w:top w:w="0" w:type="dxa"/>
              <w:left w:w="10" w:type="dxa"/>
              <w:bottom w:w="0" w:type="dxa"/>
              <w:right w:w="10" w:type="dxa"/>
            </w:tcMar>
          </w:tcPr>
          <w:p w14:paraId="4BE81D43" w14:textId="77777777" w:rsidR="007A7EF1" w:rsidRPr="003A6A3F" w:rsidRDefault="007A7EF1" w:rsidP="00155986">
            <w:pPr>
              <w:pStyle w:val="Tabletext"/>
              <w:rPr>
                <w:rFonts w:eastAsia="Calibri"/>
              </w:rPr>
            </w:pPr>
          </w:p>
        </w:tc>
        <w:tc>
          <w:tcPr>
            <w:tcW w:w="1050" w:type="dxa"/>
            <w:tcBorders>
              <w:top w:val="single" w:sz="6" w:space="0" w:color="auto"/>
              <w:bottom w:val="single" w:sz="4" w:space="0" w:color="00000A"/>
            </w:tcBorders>
            <w:shd w:val="clear" w:color="auto" w:fill="FFFFFF"/>
            <w:tcMar>
              <w:top w:w="0" w:type="dxa"/>
              <w:left w:w="10" w:type="dxa"/>
              <w:bottom w:w="0" w:type="dxa"/>
              <w:right w:w="10" w:type="dxa"/>
            </w:tcMar>
            <w:vAlign w:val="bottom"/>
          </w:tcPr>
          <w:p w14:paraId="22B76863" w14:textId="44425ED7" w:rsidR="007A7EF1" w:rsidRPr="00464447" w:rsidRDefault="007A7EF1" w:rsidP="00155986">
            <w:pPr>
              <w:pStyle w:val="Tabletext"/>
              <w:rPr>
                <w:rFonts w:eastAsia="Calibri"/>
                <w:b/>
              </w:rPr>
            </w:pPr>
            <w:r w:rsidRPr="00464447">
              <w:rPr>
                <w:rFonts w:eastAsia="Calibri"/>
                <w:b/>
              </w:rPr>
              <w:t>Self-</w:t>
            </w:r>
            <w:r w:rsidR="00CC23F3" w:rsidRPr="00464447">
              <w:rPr>
                <w:rFonts w:eastAsia="Calibri"/>
                <w:b/>
              </w:rPr>
              <w:t>e</w:t>
            </w:r>
            <w:r w:rsidRPr="00464447">
              <w:rPr>
                <w:rFonts w:eastAsia="Calibri"/>
                <w:b/>
              </w:rPr>
              <w:t>fficacy</w:t>
            </w:r>
          </w:p>
        </w:tc>
        <w:tc>
          <w:tcPr>
            <w:tcW w:w="1134" w:type="dxa"/>
            <w:tcBorders>
              <w:top w:val="single" w:sz="6" w:space="0" w:color="auto"/>
              <w:bottom w:val="single" w:sz="4" w:space="0" w:color="00000A"/>
            </w:tcBorders>
            <w:shd w:val="clear" w:color="auto" w:fill="FFFFFF"/>
            <w:tcMar>
              <w:top w:w="0" w:type="dxa"/>
              <w:left w:w="10" w:type="dxa"/>
              <w:bottom w:w="0" w:type="dxa"/>
              <w:right w:w="10" w:type="dxa"/>
            </w:tcMar>
            <w:vAlign w:val="bottom"/>
          </w:tcPr>
          <w:p w14:paraId="712C57A8" w14:textId="1BFFD4B2" w:rsidR="007A7EF1" w:rsidRPr="00464447" w:rsidRDefault="007A7EF1" w:rsidP="00155986">
            <w:pPr>
              <w:pStyle w:val="Tabletext"/>
              <w:rPr>
                <w:rFonts w:eastAsia="Calibri"/>
                <w:b/>
              </w:rPr>
            </w:pPr>
            <w:r w:rsidRPr="00464447">
              <w:rPr>
                <w:rFonts w:eastAsia="Calibri"/>
                <w:b/>
              </w:rPr>
              <w:t>Self-</w:t>
            </w:r>
            <w:r w:rsidR="00CC23F3" w:rsidRPr="00464447">
              <w:rPr>
                <w:rFonts w:eastAsia="Calibri"/>
                <w:b/>
              </w:rPr>
              <w:t>c</w:t>
            </w:r>
            <w:r w:rsidRPr="00464447">
              <w:rPr>
                <w:rFonts w:eastAsia="Calibri"/>
                <w:b/>
              </w:rPr>
              <w:t>oncept</w:t>
            </w:r>
          </w:p>
        </w:tc>
        <w:tc>
          <w:tcPr>
            <w:tcW w:w="1597" w:type="dxa"/>
            <w:tcBorders>
              <w:top w:val="single" w:sz="6" w:space="0" w:color="auto"/>
              <w:bottom w:val="single" w:sz="4" w:space="0" w:color="00000A"/>
            </w:tcBorders>
            <w:shd w:val="clear" w:color="auto" w:fill="FFFFFF"/>
            <w:tcMar>
              <w:top w:w="0" w:type="dxa"/>
              <w:left w:w="10" w:type="dxa"/>
              <w:bottom w:w="0" w:type="dxa"/>
              <w:right w:w="10" w:type="dxa"/>
            </w:tcMar>
            <w:vAlign w:val="bottom"/>
          </w:tcPr>
          <w:p w14:paraId="4D2BC2FD" w14:textId="22373BFB" w:rsidR="007A7EF1" w:rsidRPr="00464447" w:rsidRDefault="007A7EF1" w:rsidP="00D02E5D">
            <w:pPr>
              <w:pStyle w:val="Tablehead1"/>
              <w:rPr>
                <w:rFonts w:eastAsia="Calibri"/>
              </w:rPr>
            </w:pPr>
            <w:r w:rsidRPr="00D02E5D">
              <w:rPr>
                <w:rFonts w:eastAsia="Calibri"/>
              </w:rPr>
              <w:t>University</w:t>
            </w:r>
            <w:r w:rsidR="00D02E5D">
              <w:rPr>
                <w:rFonts w:eastAsia="Calibri"/>
              </w:rPr>
              <w:br/>
            </w:r>
            <w:r w:rsidR="00CC23F3" w:rsidRPr="00D02E5D">
              <w:rPr>
                <w:rFonts w:eastAsia="Calibri"/>
              </w:rPr>
              <w:t>entrance</w:t>
            </w:r>
            <w:r w:rsidR="00CC23F3" w:rsidRPr="00464447">
              <w:rPr>
                <w:rFonts w:eastAsia="Calibri"/>
              </w:rPr>
              <w:t xml:space="preserve"> score</w:t>
            </w:r>
          </w:p>
        </w:tc>
        <w:tc>
          <w:tcPr>
            <w:tcW w:w="1396" w:type="dxa"/>
            <w:tcBorders>
              <w:top w:val="single" w:sz="6" w:space="0" w:color="auto"/>
              <w:bottom w:val="single" w:sz="4" w:space="0" w:color="00000A"/>
            </w:tcBorders>
            <w:shd w:val="clear" w:color="auto" w:fill="FFFFFF"/>
            <w:tcMar>
              <w:top w:w="0" w:type="dxa"/>
              <w:left w:w="10" w:type="dxa"/>
              <w:bottom w:w="0" w:type="dxa"/>
              <w:right w:w="10" w:type="dxa"/>
            </w:tcMar>
            <w:vAlign w:val="bottom"/>
          </w:tcPr>
          <w:p w14:paraId="22E44099" w14:textId="0EFEBFAD" w:rsidR="007A7EF1" w:rsidRPr="00464447" w:rsidRDefault="007A7EF1" w:rsidP="00155986">
            <w:pPr>
              <w:pStyle w:val="Tabletext"/>
              <w:rPr>
                <w:rFonts w:eastAsia="Calibri"/>
                <w:b/>
              </w:rPr>
            </w:pPr>
            <w:r w:rsidRPr="00464447">
              <w:rPr>
                <w:rFonts w:eastAsia="Calibri"/>
                <w:b/>
              </w:rPr>
              <w:t xml:space="preserve">University </w:t>
            </w:r>
            <w:r w:rsidR="00866037" w:rsidRPr="00464447">
              <w:rPr>
                <w:rFonts w:eastAsia="Calibri"/>
                <w:b/>
              </w:rPr>
              <w:t>e</w:t>
            </w:r>
            <w:r w:rsidRPr="00464447">
              <w:rPr>
                <w:rFonts w:eastAsia="Calibri"/>
                <w:b/>
              </w:rPr>
              <w:t>ntry</w:t>
            </w:r>
          </w:p>
        </w:tc>
        <w:tc>
          <w:tcPr>
            <w:tcW w:w="1258" w:type="dxa"/>
            <w:tcBorders>
              <w:top w:val="single" w:sz="6" w:space="0" w:color="auto"/>
              <w:bottom w:val="single" w:sz="4" w:space="0" w:color="00000A"/>
            </w:tcBorders>
            <w:shd w:val="clear" w:color="auto" w:fill="FFFFFF"/>
            <w:tcMar>
              <w:top w:w="0" w:type="dxa"/>
              <w:left w:w="10" w:type="dxa"/>
              <w:bottom w:w="0" w:type="dxa"/>
              <w:right w:w="10" w:type="dxa"/>
            </w:tcMar>
            <w:vAlign w:val="bottom"/>
          </w:tcPr>
          <w:p w14:paraId="298EFB82" w14:textId="3CAD7D77" w:rsidR="007A7EF1" w:rsidRPr="00464447" w:rsidRDefault="007A7EF1" w:rsidP="00155986">
            <w:pPr>
              <w:pStyle w:val="Tabletext"/>
              <w:rPr>
                <w:rFonts w:eastAsia="Calibri"/>
                <w:b/>
              </w:rPr>
            </w:pPr>
            <w:r w:rsidRPr="00464447">
              <w:rPr>
                <w:rFonts w:eastAsia="Calibri"/>
                <w:b/>
              </w:rPr>
              <w:t xml:space="preserve">STEM </w:t>
            </w:r>
            <w:r w:rsidR="00866037" w:rsidRPr="00464447">
              <w:rPr>
                <w:rFonts w:eastAsia="Calibri"/>
                <w:b/>
              </w:rPr>
              <w:t>c</w:t>
            </w:r>
            <w:r w:rsidRPr="00464447">
              <w:rPr>
                <w:rFonts w:eastAsia="Calibri"/>
                <w:b/>
              </w:rPr>
              <w:t>ourse</w:t>
            </w:r>
          </w:p>
        </w:tc>
      </w:tr>
      <w:tr w:rsidR="007A7EF1" w:rsidRPr="003A6A3F" w14:paraId="04A97501" w14:textId="77777777" w:rsidTr="00385BEE">
        <w:trPr>
          <w:trHeight w:val="518"/>
        </w:trPr>
        <w:tc>
          <w:tcPr>
            <w:tcW w:w="1464" w:type="dxa"/>
            <w:tcBorders>
              <w:top w:val="single" w:sz="4" w:space="0" w:color="00000A"/>
            </w:tcBorders>
            <w:shd w:val="clear" w:color="auto" w:fill="FFFFFF"/>
            <w:tcMar>
              <w:top w:w="0" w:type="dxa"/>
              <w:left w:w="10" w:type="dxa"/>
              <w:bottom w:w="0" w:type="dxa"/>
              <w:right w:w="10" w:type="dxa"/>
            </w:tcMar>
          </w:tcPr>
          <w:p w14:paraId="3774580E" w14:textId="77777777" w:rsidR="007A7EF1" w:rsidRPr="003A6A3F" w:rsidRDefault="007A7EF1" w:rsidP="00155986">
            <w:pPr>
              <w:pStyle w:val="Tabletext"/>
              <w:rPr>
                <w:rFonts w:eastAsia="Calibri"/>
              </w:rPr>
            </w:pPr>
            <w:r w:rsidRPr="003A6A3F">
              <w:rPr>
                <w:rFonts w:eastAsia="Calibri"/>
              </w:rPr>
              <w:t>Self-efficacy</w:t>
            </w:r>
          </w:p>
        </w:tc>
        <w:tc>
          <w:tcPr>
            <w:tcW w:w="38" w:type="dxa"/>
            <w:tcBorders>
              <w:top w:val="single" w:sz="4" w:space="0" w:color="00000A"/>
            </w:tcBorders>
            <w:shd w:val="clear" w:color="auto" w:fill="FFFFFF"/>
            <w:tcMar>
              <w:top w:w="0" w:type="dxa"/>
              <w:left w:w="10" w:type="dxa"/>
              <w:bottom w:w="0" w:type="dxa"/>
              <w:right w:w="10" w:type="dxa"/>
            </w:tcMar>
          </w:tcPr>
          <w:p w14:paraId="0562F0A0" w14:textId="77777777" w:rsidR="007A7EF1" w:rsidRPr="003A6A3F" w:rsidRDefault="007A7EF1" w:rsidP="00155986">
            <w:pPr>
              <w:pStyle w:val="Tabletext"/>
              <w:rPr>
                <w:rFonts w:eastAsia="Calibri"/>
              </w:rPr>
            </w:pPr>
          </w:p>
        </w:tc>
        <w:tc>
          <w:tcPr>
            <w:tcW w:w="1050" w:type="dxa"/>
            <w:tcBorders>
              <w:top w:val="single" w:sz="4" w:space="0" w:color="00000A"/>
            </w:tcBorders>
            <w:shd w:val="clear" w:color="auto" w:fill="FFFFFF"/>
            <w:tcMar>
              <w:top w:w="0" w:type="dxa"/>
              <w:left w:w="10" w:type="dxa"/>
              <w:bottom w:w="0" w:type="dxa"/>
              <w:right w:w="10" w:type="dxa"/>
            </w:tcMar>
          </w:tcPr>
          <w:p w14:paraId="3FB5CDF1" w14:textId="77777777" w:rsidR="007A7EF1" w:rsidRPr="003A6A3F" w:rsidRDefault="007A7EF1" w:rsidP="00155986">
            <w:pPr>
              <w:pStyle w:val="Tabletext"/>
              <w:rPr>
                <w:rFonts w:eastAsia="Calibri"/>
              </w:rPr>
            </w:pPr>
            <w:r w:rsidRPr="003A6A3F">
              <w:rPr>
                <w:rFonts w:eastAsia="Calibri"/>
              </w:rPr>
              <w:t>-</w:t>
            </w:r>
          </w:p>
        </w:tc>
        <w:tc>
          <w:tcPr>
            <w:tcW w:w="1134" w:type="dxa"/>
            <w:tcBorders>
              <w:top w:val="single" w:sz="4" w:space="0" w:color="00000A"/>
            </w:tcBorders>
            <w:shd w:val="clear" w:color="auto" w:fill="FFFFFF"/>
            <w:tcMar>
              <w:top w:w="0" w:type="dxa"/>
              <w:left w:w="10" w:type="dxa"/>
              <w:bottom w:w="0" w:type="dxa"/>
              <w:right w:w="10" w:type="dxa"/>
            </w:tcMar>
          </w:tcPr>
          <w:p w14:paraId="3CAA69A6" w14:textId="77777777" w:rsidR="007A7EF1" w:rsidRPr="003A6A3F" w:rsidRDefault="007A7EF1" w:rsidP="00155986">
            <w:pPr>
              <w:pStyle w:val="Tabletext"/>
              <w:rPr>
                <w:rFonts w:eastAsia="Calibri"/>
              </w:rPr>
            </w:pPr>
            <w:r w:rsidRPr="003A6A3F">
              <w:rPr>
                <w:rFonts w:eastAsia="Calibri"/>
              </w:rPr>
              <w:t>-</w:t>
            </w:r>
          </w:p>
        </w:tc>
        <w:tc>
          <w:tcPr>
            <w:tcW w:w="1597" w:type="dxa"/>
            <w:tcBorders>
              <w:top w:val="single" w:sz="4" w:space="0" w:color="00000A"/>
            </w:tcBorders>
            <w:shd w:val="clear" w:color="auto" w:fill="FFFFFF"/>
            <w:tcMar>
              <w:top w:w="0" w:type="dxa"/>
              <w:left w:w="10" w:type="dxa"/>
              <w:bottom w:w="0" w:type="dxa"/>
              <w:right w:w="10" w:type="dxa"/>
            </w:tcMar>
          </w:tcPr>
          <w:p w14:paraId="70A3C9A3" w14:textId="77777777" w:rsidR="007A7EF1" w:rsidRPr="003A6A3F" w:rsidRDefault="007A7EF1" w:rsidP="00155986">
            <w:pPr>
              <w:pStyle w:val="Tabletext"/>
              <w:rPr>
                <w:rFonts w:eastAsia="Calibri"/>
              </w:rPr>
            </w:pPr>
            <w:r w:rsidRPr="003A6A3F">
              <w:rPr>
                <w:rFonts w:eastAsia="Calibri"/>
              </w:rPr>
              <w:t>.16(.</w:t>
            </w:r>
            <w:proofErr w:type="gramStart"/>
            <w:r w:rsidRPr="003A6A3F">
              <w:rPr>
                <w:rFonts w:eastAsia="Calibri"/>
              </w:rPr>
              <w:t>02)*</w:t>
            </w:r>
            <w:proofErr w:type="gramEnd"/>
            <w:r w:rsidRPr="003A6A3F">
              <w:rPr>
                <w:rFonts w:eastAsia="Calibri"/>
              </w:rPr>
              <w:t>**</w:t>
            </w:r>
          </w:p>
        </w:tc>
        <w:tc>
          <w:tcPr>
            <w:tcW w:w="1396" w:type="dxa"/>
            <w:tcBorders>
              <w:top w:val="single" w:sz="4" w:space="0" w:color="00000A"/>
            </w:tcBorders>
            <w:shd w:val="clear" w:color="auto" w:fill="FFFFFF"/>
            <w:tcMar>
              <w:top w:w="0" w:type="dxa"/>
              <w:left w:w="10" w:type="dxa"/>
              <w:bottom w:w="0" w:type="dxa"/>
              <w:right w:w="10" w:type="dxa"/>
            </w:tcMar>
          </w:tcPr>
          <w:p w14:paraId="567B653B" w14:textId="77777777" w:rsidR="007A7EF1" w:rsidRPr="003A6A3F" w:rsidRDefault="007A7EF1" w:rsidP="00155986">
            <w:pPr>
              <w:pStyle w:val="Tabletext"/>
              <w:rPr>
                <w:rFonts w:eastAsia="Calibri"/>
              </w:rPr>
            </w:pPr>
            <w:r w:rsidRPr="003A6A3F">
              <w:rPr>
                <w:rFonts w:eastAsia="Calibri"/>
              </w:rPr>
              <w:t>.06(.</w:t>
            </w:r>
            <w:proofErr w:type="gramStart"/>
            <w:r w:rsidRPr="003A6A3F">
              <w:rPr>
                <w:rFonts w:eastAsia="Calibri"/>
              </w:rPr>
              <w:t>03)*</w:t>
            </w:r>
            <w:proofErr w:type="gramEnd"/>
          </w:p>
        </w:tc>
        <w:tc>
          <w:tcPr>
            <w:tcW w:w="1258" w:type="dxa"/>
            <w:tcBorders>
              <w:top w:val="single" w:sz="4" w:space="0" w:color="00000A"/>
            </w:tcBorders>
            <w:shd w:val="clear" w:color="auto" w:fill="FFFFFF"/>
            <w:tcMar>
              <w:top w:w="0" w:type="dxa"/>
              <w:left w:w="10" w:type="dxa"/>
              <w:bottom w:w="0" w:type="dxa"/>
              <w:right w:w="10" w:type="dxa"/>
            </w:tcMar>
          </w:tcPr>
          <w:p w14:paraId="56E75B61" w14:textId="77777777" w:rsidR="007A7EF1" w:rsidRPr="003A6A3F" w:rsidRDefault="007A7EF1" w:rsidP="00155986">
            <w:pPr>
              <w:pStyle w:val="Tabletext"/>
              <w:rPr>
                <w:rFonts w:eastAsia="Calibri"/>
              </w:rPr>
            </w:pPr>
            <w:r w:rsidRPr="003A6A3F">
              <w:rPr>
                <w:rFonts w:eastAsia="Calibri"/>
              </w:rPr>
              <w:t>.05(.05)</w:t>
            </w:r>
          </w:p>
        </w:tc>
      </w:tr>
      <w:tr w:rsidR="007A7EF1" w:rsidRPr="003A6A3F" w14:paraId="1FF7651F" w14:textId="77777777" w:rsidTr="00385BEE">
        <w:trPr>
          <w:trHeight w:val="540"/>
        </w:trPr>
        <w:tc>
          <w:tcPr>
            <w:tcW w:w="1464" w:type="dxa"/>
            <w:shd w:val="clear" w:color="auto" w:fill="FFFFFF"/>
            <w:tcMar>
              <w:top w:w="0" w:type="dxa"/>
              <w:left w:w="10" w:type="dxa"/>
              <w:bottom w:w="0" w:type="dxa"/>
              <w:right w:w="10" w:type="dxa"/>
            </w:tcMar>
          </w:tcPr>
          <w:p w14:paraId="73FA55E4" w14:textId="77777777" w:rsidR="007A7EF1" w:rsidRPr="003A6A3F" w:rsidRDefault="007A7EF1" w:rsidP="00155986">
            <w:pPr>
              <w:pStyle w:val="Tabletext"/>
              <w:rPr>
                <w:rFonts w:eastAsia="Calibri"/>
              </w:rPr>
            </w:pPr>
            <w:r w:rsidRPr="003A6A3F">
              <w:rPr>
                <w:rFonts w:eastAsia="Calibri"/>
              </w:rPr>
              <w:t>Self-concept</w:t>
            </w:r>
          </w:p>
        </w:tc>
        <w:tc>
          <w:tcPr>
            <w:tcW w:w="38" w:type="dxa"/>
            <w:shd w:val="clear" w:color="auto" w:fill="FFFFFF"/>
            <w:tcMar>
              <w:top w:w="0" w:type="dxa"/>
              <w:left w:w="10" w:type="dxa"/>
              <w:bottom w:w="0" w:type="dxa"/>
              <w:right w:w="10" w:type="dxa"/>
            </w:tcMar>
          </w:tcPr>
          <w:p w14:paraId="65BE0450" w14:textId="77777777" w:rsidR="007A7EF1" w:rsidRPr="003A6A3F" w:rsidRDefault="007A7EF1" w:rsidP="00155986">
            <w:pPr>
              <w:pStyle w:val="Tabletext"/>
              <w:rPr>
                <w:rFonts w:eastAsia="Calibri"/>
              </w:rPr>
            </w:pPr>
          </w:p>
        </w:tc>
        <w:tc>
          <w:tcPr>
            <w:tcW w:w="1050" w:type="dxa"/>
            <w:shd w:val="clear" w:color="auto" w:fill="FFFFFF"/>
            <w:tcMar>
              <w:top w:w="0" w:type="dxa"/>
              <w:left w:w="10" w:type="dxa"/>
              <w:bottom w:w="0" w:type="dxa"/>
              <w:right w:w="10" w:type="dxa"/>
            </w:tcMar>
          </w:tcPr>
          <w:p w14:paraId="45B84DE6" w14:textId="77777777" w:rsidR="007A7EF1" w:rsidRPr="003A6A3F" w:rsidRDefault="007A7EF1" w:rsidP="00155986">
            <w:pPr>
              <w:pStyle w:val="Tabletext"/>
              <w:rPr>
                <w:rFonts w:eastAsia="Calibri"/>
              </w:rPr>
            </w:pPr>
            <w:r w:rsidRPr="003A6A3F">
              <w:rPr>
                <w:rFonts w:eastAsia="Calibri"/>
              </w:rPr>
              <w:t>-</w:t>
            </w:r>
          </w:p>
        </w:tc>
        <w:tc>
          <w:tcPr>
            <w:tcW w:w="1134" w:type="dxa"/>
            <w:shd w:val="clear" w:color="auto" w:fill="FFFFFF"/>
            <w:tcMar>
              <w:top w:w="0" w:type="dxa"/>
              <w:left w:w="10" w:type="dxa"/>
              <w:bottom w:w="0" w:type="dxa"/>
              <w:right w:w="10" w:type="dxa"/>
            </w:tcMar>
          </w:tcPr>
          <w:p w14:paraId="4A914C6B" w14:textId="77777777" w:rsidR="007A7EF1" w:rsidRPr="003A6A3F" w:rsidRDefault="007A7EF1" w:rsidP="00155986">
            <w:pPr>
              <w:pStyle w:val="Tabletext"/>
              <w:rPr>
                <w:rFonts w:eastAsia="Calibri"/>
              </w:rPr>
            </w:pPr>
            <w:r w:rsidRPr="003A6A3F">
              <w:rPr>
                <w:rFonts w:eastAsia="Calibri"/>
              </w:rPr>
              <w:t>-</w:t>
            </w:r>
          </w:p>
        </w:tc>
        <w:tc>
          <w:tcPr>
            <w:tcW w:w="1597" w:type="dxa"/>
            <w:shd w:val="clear" w:color="auto" w:fill="FFFFFF"/>
            <w:tcMar>
              <w:top w:w="0" w:type="dxa"/>
              <w:left w:w="10" w:type="dxa"/>
              <w:bottom w:w="0" w:type="dxa"/>
              <w:right w:w="10" w:type="dxa"/>
            </w:tcMar>
          </w:tcPr>
          <w:p w14:paraId="432D72DF" w14:textId="77777777" w:rsidR="007A7EF1" w:rsidRPr="003A6A3F" w:rsidRDefault="007A7EF1" w:rsidP="00155986">
            <w:pPr>
              <w:pStyle w:val="Tabletext"/>
              <w:rPr>
                <w:rFonts w:eastAsia="Calibri"/>
              </w:rPr>
            </w:pPr>
            <w:r w:rsidRPr="003A6A3F">
              <w:rPr>
                <w:rFonts w:eastAsia="Calibri"/>
              </w:rPr>
              <w:t>.09(.</w:t>
            </w:r>
            <w:proofErr w:type="gramStart"/>
            <w:r w:rsidRPr="003A6A3F">
              <w:rPr>
                <w:rFonts w:eastAsia="Calibri"/>
              </w:rPr>
              <w:t>02)*</w:t>
            </w:r>
            <w:proofErr w:type="gramEnd"/>
            <w:r w:rsidRPr="003A6A3F">
              <w:rPr>
                <w:rFonts w:eastAsia="Calibri"/>
              </w:rPr>
              <w:t>**</w:t>
            </w:r>
          </w:p>
        </w:tc>
        <w:tc>
          <w:tcPr>
            <w:tcW w:w="1396" w:type="dxa"/>
            <w:shd w:val="clear" w:color="auto" w:fill="FFFFFF"/>
            <w:tcMar>
              <w:top w:w="0" w:type="dxa"/>
              <w:left w:w="10" w:type="dxa"/>
              <w:bottom w:w="0" w:type="dxa"/>
              <w:right w:w="10" w:type="dxa"/>
            </w:tcMar>
          </w:tcPr>
          <w:p w14:paraId="419CB239" w14:textId="77777777" w:rsidR="007A7EF1" w:rsidRPr="003A6A3F" w:rsidRDefault="007A7EF1" w:rsidP="00155986">
            <w:pPr>
              <w:pStyle w:val="Tabletext"/>
              <w:rPr>
                <w:rFonts w:eastAsia="Calibri"/>
              </w:rPr>
            </w:pPr>
            <w:r w:rsidRPr="003A6A3F">
              <w:rPr>
                <w:rFonts w:eastAsia="Calibri"/>
              </w:rPr>
              <w:t>.01(.02)</w:t>
            </w:r>
          </w:p>
        </w:tc>
        <w:tc>
          <w:tcPr>
            <w:tcW w:w="1258" w:type="dxa"/>
            <w:shd w:val="clear" w:color="auto" w:fill="FFFFFF"/>
            <w:tcMar>
              <w:top w:w="0" w:type="dxa"/>
              <w:left w:w="10" w:type="dxa"/>
              <w:bottom w:w="0" w:type="dxa"/>
              <w:right w:w="10" w:type="dxa"/>
            </w:tcMar>
          </w:tcPr>
          <w:p w14:paraId="336E0D0C" w14:textId="77777777" w:rsidR="007A7EF1" w:rsidRPr="003A6A3F" w:rsidRDefault="007A7EF1" w:rsidP="00155986">
            <w:pPr>
              <w:pStyle w:val="Tabletext"/>
              <w:rPr>
                <w:rFonts w:eastAsia="Calibri"/>
              </w:rPr>
            </w:pPr>
            <w:r w:rsidRPr="003A6A3F">
              <w:rPr>
                <w:rFonts w:eastAsia="Calibri"/>
              </w:rPr>
              <w:t>.17(.</w:t>
            </w:r>
            <w:proofErr w:type="gramStart"/>
            <w:r w:rsidRPr="003A6A3F">
              <w:rPr>
                <w:rFonts w:eastAsia="Calibri"/>
              </w:rPr>
              <w:t>04)*</w:t>
            </w:r>
            <w:proofErr w:type="gramEnd"/>
            <w:r w:rsidRPr="003A6A3F">
              <w:rPr>
                <w:rFonts w:eastAsia="Calibri"/>
              </w:rPr>
              <w:t>**</w:t>
            </w:r>
          </w:p>
        </w:tc>
      </w:tr>
      <w:tr w:rsidR="007A7EF1" w:rsidRPr="003A6A3F" w14:paraId="0B569588" w14:textId="77777777" w:rsidTr="00385BEE">
        <w:trPr>
          <w:trHeight w:val="594"/>
        </w:trPr>
        <w:tc>
          <w:tcPr>
            <w:tcW w:w="1464" w:type="dxa"/>
            <w:shd w:val="clear" w:color="auto" w:fill="FFFFFF"/>
            <w:tcMar>
              <w:top w:w="0" w:type="dxa"/>
              <w:left w:w="10" w:type="dxa"/>
              <w:bottom w:w="0" w:type="dxa"/>
              <w:right w:w="10" w:type="dxa"/>
            </w:tcMar>
          </w:tcPr>
          <w:p w14:paraId="70EF0EFB" w14:textId="77777777" w:rsidR="007A7EF1" w:rsidRPr="003A6A3F" w:rsidRDefault="007A7EF1" w:rsidP="00155986">
            <w:pPr>
              <w:pStyle w:val="Tabletext"/>
              <w:rPr>
                <w:rFonts w:eastAsia="Calibri"/>
              </w:rPr>
            </w:pPr>
            <w:r w:rsidRPr="003A6A3F">
              <w:rPr>
                <w:rFonts w:eastAsia="Calibri"/>
              </w:rPr>
              <w:t>TER</w:t>
            </w:r>
          </w:p>
        </w:tc>
        <w:tc>
          <w:tcPr>
            <w:tcW w:w="38" w:type="dxa"/>
            <w:shd w:val="clear" w:color="auto" w:fill="FFFFFF"/>
            <w:tcMar>
              <w:top w:w="0" w:type="dxa"/>
              <w:left w:w="10" w:type="dxa"/>
              <w:bottom w:w="0" w:type="dxa"/>
              <w:right w:w="10" w:type="dxa"/>
            </w:tcMar>
          </w:tcPr>
          <w:p w14:paraId="1E1EA048" w14:textId="77777777" w:rsidR="007A7EF1" w:rsidRPr="003A6A3F" w:rsidRDefault="007A7EF1" w:rsidP="00155986">
            <w:pPr>
              <w:pStyle w:val="Tabletext"/>
              <w:rPr>
                <w:rFonts w:eastAsia="Calibri"/>
              </w:rPr>
            </w:pPr>
          </w:p>
        </w:tc>
        <w:tc>
          <w:tcPr>
            <w:tcW w:w="1050" w:type="dxa"/>
            <w:shd w:val="clear" w:color="auto" w:fill="FFFFFF"/>
            <w:tcMar>
              <w:top w:w="0" w:type="dxa"/>
              <w:left w:w="10" w:type="dxa"/>
              <w:bottom w:w="0" w:type="dxa"/>
              <w:right w:w="10" w:type="dxa"/>
            </w:tcMar>
          </w:tcPr>
          <w:p w14:paraId="17F7AF9E" w14:textId="77777777" w:rsidR="007A7EF1" w:rsidRPr="003A6A3F" w:rsidRDefault="007A7EF1" w:rsidP="00155986">
            <w:pPr>
              <w:pStyle w:val="Tabletext"/>
              <w:rPr>
                <w:rFonts w:eastAsia="Calibri"/>
              </w:rPr>
            </w:pPr>
            <w:r w:rsidRPr="003A6A3F">
              <w:rPr>
                <w:rFonts w:eastAsia="Calibri"/>
              </w:rPr>
              <w:t>-</w:t>
            </w:r>
          </w:p>
        </w:tc>
        <w:tc>
          <w:tcPr>
            <w:tcW w:w="1134" w:type="dxa"/>
            <w:shd w:val="clear" w:color="auto" w:fill="FFFFFF"/>
            <w:tcMar>
              <w:top w:w="0" w:type="dxa"/>
              <w:left w:w="10" w:type="dxa"/>
              <w:bottom w:w="0" w:type="dxa"/>
              <w:right w:w="10" w:type="dxa"/>
            </w:tcMar>
          </w:tcPr>
          <w:p w14:paraId="1419027D" w14:textId="77777777" w:rsidR="007A7EF1" w:rsidRPr="003A6A3F" w:rsidRDefault="007A7EF1" w:rsidP="00155986">
            <w:pPr>
              <w:pStyle w:val="Tabletext"/>
              <w:rPr>
                <w:rFonts w:eastAsia="Calibri"/>
              </w:rPr>
            </w:pPr>
            <w:r w:rsidRPr="003A6A3F">
              <w:rPr>
                <w:rFonts w:eastAsia="Calibri"/>
              </w:rPr>
              <w:t>-</w:t>
            </w:r>
          </w:p>
        </w:tc>
        <w:tc>
          <w:tcPr>
            <w:tcW w:w="1597" w:type="dxa"/>
            <w:shd w:val="clear" w:color="auto" w:fill="FFFFFF"/>
            <w:tcMar>
              <w:top w:w="0" w:type="dxa"/>
              <w:left w:w="10" w:type="dxa"/>
              <w:bottom w:w="0" w:type="dxa"/>
              <w:right w:w="10" w:type="dxa"/>
            </w:tcMar>
          </w:tcPr>
          <w:p w14:paraId="1E8130D5" w14:textId="77777777" w:rsidR="007A7EF1" w:rsidRPr="003A6A3F" w:rsidRDefault="007A7EF1" w:rsidP="00155986">
            <w:pPr>
              <w:pStyle w:val="Tabletext"/>
              <w:rPr>
                <w:rFonts w:eastAsia="Calibri"/>
              </w:rPr>
            </w:pPr>
            <w:r w:rsidRPr="003A6A3F">
              <w:rPr>
                <w:rFonts w:eastAsia="Calibri"/>
              </w:rPr>
              <w:t>-</w:t>
            </w:r>
          </w:p>
        </w:tc>
        <w:tc>
          <w:tcPr>
            <w:tcW w:w="1396" w:type="dxa"/>
            <w:shd w:val="clear" w:color="auto" w:fill="FFFFFF"/>
            <w:tcMar>
              <w:top w:w="0" w:type="dxa"/>
              <w:left w:w="10" w:type="dxa"/>
              <w:bottom w:w="0" w:type="dxa"/>
              <w:right w:w="10" w:type="dxa"/>
            </w:tcMar>
          </w:tcPr>
          <w:p w14:paraId="5D3B106D" w14:textId="77777777" w:rsidR="007A7EF1" w:rsidRPr="003A6A3F" w:rsidRDefault="007A7EF1" w:rsidP="00155986">
            <w:pPr>
              <w:pStyle w:val="Tabletext"/>
              <w:rPr>
                <w:rFonts w:eastAsia="Calibri"/>
              </w:rPr>
            </w:pPr>
            <w:r w:rsidRPr="003A6A3F">
              <w:rPr>
                <w:rFonts w:eastAsia="Calibri"/>
              </w:rPr>
              <w:t>1.21(.</w:t>
            </w:r>
            <w:proofErr w:type="gramStart"/>
            <w:r w:rsidRPr="003A6A3F">
              <w:rPr>
                <w:rFonts w:eastAsia="Calibri"/>
              </w:rPr>
              <w:t>08)*</w:t>
            </w:r>
            <w:proofErr w:type="gramEnd"/>
            <w:r w:rsidRPr="003A6A3F">
              <w:rPr>
                <w:rFonts w:eastAsia="Calibri"/>
              </w:rPr>
              <w:t>**</w:t>
            </w:r>
          </w:p>
        </w:tc>
        <w:tc>
          <w:tcPr>
            <w:tcW w:w="1258" w:type="dxa"/>
            <w:shd w:val="clear" w:color="auto" w:fill="FFFFFF"/>
            <w:tcMar>
              <w:top w:w="0" w:type="dxa"/>
              <w:left w:w="10" w:type="dxa"/>
              <w:bottom w:w="0" w:type="dxa"/>
              <w:right w:w="10" w:type="dxa"/>
            </w:tcMar>
          </w:tcPr>
          <w:p w14:paraId="3DF21684" w14:textId="77777777" w:rsidR="007A7EF1" w:rsidRPr="003A6A3F" w:rsidRDefault="007A7EF1" w:rsidP="00155986">
            <w:pPr>
              <w:pStyle w:val="Tabletext"/>
              <w:rPr>
                <w:rFonts w:eastAsia="Calibri"/>
              </w:rPr>
            </w:pPr>
            <w:r w:rsidRPr="003A6A3F">
              <w:rPr>
                <w:rFonts w:eastAsia="Calibri"/>
              </w:rPr>
              <w:t>-.02(.07)</w:t>
            </w:r>
          </w:p>
        </w:tc>
      </w:tr>
      <w:tr w:rsidR="007A7EF1" w:rsidRPr="003A6A3F" w14:paraId="3F3490CA" w14:textId="77777777" w:rsidTr="00385BEE">
        <w:trPr>
          <w:trHeight w:val="356"/>
        </w:trPr>
        <w:tc>
          <w:tcPr>
            <w:tcW w:w="1464" w:type="dxa"/>
            <w:shd w:val="clear" w:color="auto" w:fill="FFFFFF"/>
            <w:tcMar>
              <w:top w:w="0" w:type="dxa"/>
              <w:left w:w="10" w:type="dxa"/>
              <w:bottom w:w="0" w:type="dxa"/>
              <w:right w:w="10" w:type="dxa"/>
            </w:tcMar>
          </w:tcPr>
          <w:p w14:paraId="13B33223" w14:textId="77777777" w:rsidR="007A7EF1" w:rsidRPr="003A6A3F" w:rsidRDefault="007A7EF1" w:rsidP="00155986">
            <w:pPr>
              <w:pStyle w:val="Tabletext"/>
              <w:rPr>
                <w:rFonts w:eastAsia="Calibri"/>
              </w:rPr>
            </w:pPr>
            <w:r w:rsidRPr="003A6A3F">
              <w:rPr>
                <w:rFonts w:eastAsia="Calibri"/>
              </w:rPr>
              <w:t>Achievement</w:t>
            </w:r>
          </w:p>
        </w:tc>
        <w:tc>
          <w:tcPr>
            <w:tcW w:w="38" w:type="dxa"/>
            <w:shd w:val="clear" w:color="auto" w:fill="FFFFFF"/>
            <w:tcMar>
              <w:top w:w="0" w:type="dxa"/>
              <w:left w:w="10" w:type="dxa"/>
              <w:bottom w:w="0" w:type="dxa"/>
              <w:right w:w="10" w:type="dxa"/>
            </w:tcMar>
          </w:tcPr>
          <w:p w14:paraId="5C97373D" w14:textId="77777777" w:rsidR="007A7EF1" w:rsidRPr="003A6A3F" w:rsidRDefault="007A7EF1" w:rsidP="00155986">
            <w:pPr>
              <w:pStyle w:val="Tabletext"/>
              <w:rPr>
                <w:rFonts w:eastAsia="Calibri"/>
              </w:rPr>
            </w:pPr>
          </w:p>
        </w:tc>
        <w:tc>
          <w:tcPr>
            <w:tcW w:w="1050" w:type="dxa"/>
            <w:shd w:val="clear" w:color="auto" w:fill="FFFFFF"/>
            <w:tcMar>
              <w:top w:w="0" w:type="dxa"/>
              <w:left w:w="10" w:type="dxa"/>
              <w:bottom w:w="0" w:type="dxa"/>
              <w:right w:w="10" w:type="dxa"/>
            </w:tcMar>
          </w:tcPr>
          <w:p w14:paraId="302F06CA" w14:textId="77777777" w:rsidR="007A7EF1" w:rsidRPr="003A6A3F" w:rsidRDefault="007A7EF1" w:rsidP="00155986">
            <w:pPr>
              <w:pStyle w:val="Tabletext"/>
              <w:rPr>
                <w:rFonts w:eastAsia="Calibri"/>
              </w:rPr>
            </w:pPr>
          </w:p>
        </w:tc>
        <w:tc>
          <w:tcPr>
            <w:tcW w:w="1134" w:type="dxa"/>
            <w:shd w:val="clear" w:color="auto" w:fill="FFFFFF"/>
            <w:tcMar>
              <w:top w:w="0" w:type="dxa"/>
              <w:left w:w="10" w:type="dxa"/>
              <w:bottom w:w="0" w:type="dxa"/>
              <w:right w:w="10" w:type="dxa"/>
            </w:tcMar>
          </w:tcPr>
          <w:p w14:paraId="17242EE1" w14:textId="77777777" w:rsidR="007A7EF1" w:rsidRPr="003A6A3F" w:rsidRDefault="007A7EF1" w:rsidP="00155986">
            <w:pPr>
              <w:pStyle w:val="Tabletext"/>
              <w:rPr>
                <w:rFonts w:eastAsia="Calibri"/>
              </w:rPr>
            </w:pPr>
          </w:p>
        </w:tc>
        <w:tc>
          <w:tcPr>
            <w:tcW w:w="1597" w:type="dxa"/>
            <w:shd w:val="clear" w:color="auto" w:fill="FFFFFF"/>
            <w:tcMar>
              <w:top w:w="0" w:type="dxa"/>
              <w:left w:w="10" w:type="dxa"/>
              <w:bottom w:w="0" w:type="dxa"/>
              <w:right w:w="10" w:type="dxa"/>
            </w:tcMar>
          </w:tcPr>
          <w:p w14:paraId="622729C1" w14:textId="77777777" w:rsidR="007A7EF1" w:rsidRPr="003A6A3F" w:rsidRDefault="007A7EF1" w:rsidP="00155986">
            <w:pPr>
              <w:pStyle w:val="Tabletext"/>
              <w:rPr>
                <w:rFonts w:eastAsia="Calibri"/>
              </w:rPr>
            </w:pPr>
          </w:p>
        </w:tc>
        <w:tc>
          <w:tcPr>
            <w:tcW w:w="1396" w:type="dxa"/>
            <w:shd w:val="clear" w:color="auto" w:fill="FFFFFF"/>
            <w:tcMar>
              <w:top w:w="0" w:type="dxa"/>
              <w:left w:w="10" w:type="dxa"/>
              <w:bottom w:w="0" w:type="dxa"/>
              <w:right w:w="10" w:type="dxa"/>
            </w:tcMar>
          </w:tcPr>
          <w:p w14:paraId="1379BDEA" w14:textId="77777777" w:rsidR="007A7EF1" w:rsidRPr="003A6A3F" w:rsidRDefault="007A7EF1" w:rsidP="00155986">
            <w:pPr>
              <w:pStyle w:val="Tabletext"/>
              <w:rPr>
                <w:rFonts w:eastAsia="Calibri"/>
              </w:rPr>
            </w:pPr>
          </w:p>
        </w:tc>
        <w:tc>
          <w:tcPr>
            <w:tcW w:w="1258" w:type="dxa"/>
            <w:shd w:val="clear" w:color="auto" w:fill="FFFFFF"/>
            <w:tcMar>
              <w:top w:w="0" w:type="dxa"/>
              <w:left w:w="10" w:type="dxa"/>
              <w:bottom w:w="0" w:type="dxa"/>
              <w:right w:w="10" w:type="dxa"/>
            </w:tcMar>
          </w:tcPr>
          <w:p w14:paraId="40776398" w14:textId="77777777" w:rsidR="007A7EF1" w:rsidRPr="003A6A3F" w:rsidRDefault="007A7EF1" w:rsidP="00155986">
            <w:pPr>
              <w:pStyle w:val="Tabletext"/>
              <w:rPr>
                <w:rFonts w:eastAsia="Calibri"/>
              </w:rPr>
            </w:pPr>
          </w:p>
        </w:tc>
      </w:tr>
      <w:tr w:rsidR="007A7EF1" w:rsidRPr="003A6A3F" w14:paraId="08079BE1" w14:textId="77777777" w:rsidTr="00385BEE">
        <w:trPr>
          <w:trHeight w:val="585"/>
        </w:trPr>
        <w:tc>
          <w:tcPr>
            <w:tcW w:w="1464" w:type="dxa"/>
            <w:shd w:val="clear" w:color="auto" w:fill="FFFFFF"/>
            <w:tcMar>
              <w:top w:w="0" w:type="dxa"/>
              <w:left w:w="10" w:type="dxa"/>
              <w:bottom w:w="0" w:type="dxa"/>
              <w:right w:w="10" w:type="dxa"/>
            </w:tcMar>
          </w:tcPr>
          <w:p w14:paraId="5EA375AA" w14:textId="72CC2A81" w:rsidR="007A7EF1" w:rsidRPr="003A6A3F" w:rsidRDefault="007A7EF1" w:rsidP="00155986">
            <w:pPr>
              <w:pStyle w:val="Tabletext"/>
              <w:rPr>
                <w:rFonts w:eastAsia="Calibri"/>
              </w:rPr>
            </w:pPr>
            <w:r w:rsidRPr="003A6A3F">
              <w:rPr>
                <w:rFonts w:eastAsia="Calibri"/>
              </w:rPr>
              <w:t xml:space="preserve">   Math</w:t>
            </w:r>
            <w:r w:rsidR="00866037">
              <w:rPr>
                <w:rFonts w:eastAsia="Calibri"/>
              </w:rPr>
              <w:t>s</w:t>
            </w:r>
          </w:p>
        </w:tc>
        <w:tc>
          <w:tcPr>
            <w:tcW w:w="38" w:type="dxa"/>
            <w:shd w:val="clear" w:color="auto" w:fill="FFFFFF"/>
            <w:tcMar>
              <w:top w:w="0" w:type="dxa"/>
              <w:left w:w="10" w:type="dxa"/>
              <w:bottom w:w="0" w:type="dxa"/>
              <w:right w:w="10" w:type="dxa"/>
            </w:tcMar>
          </w:tcPr>
          <w:p w14:paraId="3FE5E442" w14:textId="77777777" w:rsidR="007A7EF1" w:rsidRPr="003A6A3F" w:rsidRDefault="007A7EF1" w:rsidP="00155986">
            <w:pPr>
              <w:pStyle w:val="Tabletext"/>
              <w:rPr>
                <w:rFonts w:eastAsia="Calibri"/>
              </w:rPr>
            </w:pPr>
          </w:p>
        </w:tc>
        <w:tc>
          <w:tcPr>
            <w:tcW w:w="1050" w:type="dxa"/>
            <w:shd w:val="clear" w:color="auto" w:fill="FFFFFF"/>
            <w:tcMar>
              <w:top w:w="0" w:type="dxa"/>
              <w:left w:w="10" w:type="dxa"/>
              <w:bottom w:w="0" w:type="dxa"/>
              <w:right w:w="10" w:type="dxa"/>
            </w:tcMar>
          </w:tcPr>
          <w:p w14:paraId="71728839" w14:textId="77777777" w:rsidR="007A7EF1" w:rsidRPr="003A6A3F" w:rsidRDefault="007A7EF1" w:rsidP="00155986">
            <w:pPr>
              <w:pStyle w:val="Tabletext"/>
              <w:rPr>
                <w:rFonts w:eastAsia="Calibri"/>
              </w:rPr>
            </w:pPr>
            <w:r w:rsidRPr="003A6A3F">
              <w:rPr>
                <w:rFonts w:eastAsia="Calibri"/>
              </w:rPr>
              <w:t>.42(.</w:t>
            </w:r>
            <w:proofErr w:type="gramStart"/>
            <w:r w:rsidRPr="003A6A3F">
              <w:rPr>
                <w:rFonts w:eastAsia="Calibri"/>
              </w:rPr>
              <w:t>02)*</w:t>
            </w:r>
            <w:proofErr w:type="gramEnd"/>
            <w:r w:rsidRPr="003A6A3F">
              <w:rPr>
                <w:rFonts w:eastAsia="Calibri"/>
              </w:rPr>
              <w:t>**</w:t>
            </w:r>
          </w:p>
        </w:tc>
        <w:tc>
          <w:tcPr>
            <w:tcW w:w="1134" w:type="dxa"/>
            <w:shd w:val="clear" w:color="auto" w:fill="FFFFFF"/>
            <w:tcMar>
              <w:top w:w="0" w:type="dxa"/>
              <w:left w:w="10" w:type="dxa"/>
              <w:bottom w:w="0" w:type="dxa"/>
              <w:right w:w="10" w:type="dxa"/>
            </w:tcMar>
          </w:tcPr>
          <w:p w14:paraId="51E0E127" w14:textId="77777777" w:rsidR="007A7EF1" w:rsidRPr="003A6A3F" w:rsidRDefault="007A7EF1" w:rsidP="00155986">
            <w:pPr>
              <w:pStyle w:val="Tabletext"/>
              <w:rPr>
                <w:rFonts w:eastAsia="Calibri"/>
              </w:rPr>
            </w:pPr>
            <w:r w:rsidRPr="003A6A3F">
              <w:rPr>
                <w:rFonts w:eastAsia="Calibri"/>
              </w:rPr>
              <w:t>.58(.</w:t>
            </w:r>
            <w:proofErr w:type="gramStart"/>
            <w:r w:rsidRPr="003A6A3F">
              <w:rPr>
                <w:rFonts w:eastAsia="Calibri"/>
              </w:rPr>
              <w:t>03)*</w:t>
            </w:r>
            <w:proofErr w:type="gramEnd"/>
            <w:r w:rsidRPr="003A6A3F">
              <w:rPr>
                <w:rFonts w:eastAsia="Calibri"/>
              </w:rPr>
              <w:t>**</w:t>
            </w:r>
          </w:p>
        </w:tc>
        <w:tc>
          <w:tcPr>
            <w:tcW w:w="1597" w:type="dxa"/>
            <w:shd w:val="clear" w:color="auto" w:fill="FFFFFF"/>
            <w:tcMar>
              <w:top w:w="0" w:type="dxa"/>
              <w:left w:w="10" w:type="dxa"/>
              <w:bottom w:w="0" w:type="dxa"/>
              <w:right w:w="10" w:type="dxa"/>
            </w:tcMar>
          </w:tcPr>
          <w:p w14:paraId="3B2A651E" w14:textId="77777777" w:rsidR="007A7EF1" w:rsidRPr="003A6A3F" w:rsidRDefault="007A7EF1" w:rsidP="00155986">
            <w:pPr>
              <w:pStyle w:val="Tabletext"/>
              <w:rPr>
                <w:rFonts w:eastAsia="Calibri"/>
              </w:rPr>
            </w:pPr>
            <w:r w:rsidRPr="003A6A3F">
              <w:rPr>
                <w:rFonts w:eastAsia="Calibri"/>
              </w:rPr>
              <w:t>.26(.</w:t>
            </w:r>
            <w:proofErr w:type="gramStart"/>
            <w:r w:rsidRPr="003A6A3F">
              <w:rPr>
                <w:rFonts w:eastAsia="Calibri"/>
              </w:rPr>
              <w:t>03)*</w:t>
            </w:r>
            <w:proofErr w:type="gramEnd"/>
            <w:r w:rsidRPr="003A6A3F">
              <w:rPr>
                <w:rFonts w:eastAsia="Calibri"/>
              </w:rPr>
              <w:t>**</w:t>
            </w:r>
          </w:p>
        </w:tc>
        <w:tc>
          <w:tcPr>
            <w:tcW w:w="1396" w:type="dxa"/>
            <w:shd w:val="clear" w:color="auto" w:fill="FFFFFF"/>
            <w:tcMar>
              <w:top w:w="0" w:type="dxa"/>
              <w:left w:w="10" w:type="dxa"/>
              <w:bottom w:w="0" w:type="dxa"/>
              <w:right w:w="10" w:type="dxa"/>
            </w:tcMar>
          </w:tcPr>
          <w:p w14:paraId="64760278" w14:textId="77777777" w:rsidR="007A7EF1" w:rsidRPr="003A6A3F" w:rsidRDefault="007A7EF1" w:rsidP="00155986">
            <w:pPr>
              <w:pStyle w:val="Tabletext"/>
              <w:rPr>
                <w:rFonts w:eastAsia="Calibri"/>
              </w:rPr>
            </w:pPr>
            <w:r w:rsidRPr="003A6A3F">
              <w:rPr>
                <w:rFonts w:eastAsia="Calibri"/>
              </w:rPr>
              <w:t>.20(.</w:t>
            </w:r>
            <w:proofErr w:type="gramStart"/>
            <w:r w:rsidRPr="003A6A3F">
              <w:rPr>
                <w:rFonts w:eastAsia="Calibri"/>
              </w:rPr>
              <w:t>10)*</w:t>
            </w:r>
            <w:proofErr w:type="gramEnd"/>
            <w:r w:rsidRPr="003A6A3F">
              <w:rPr>
                <w:rFonts w:eastAsia="Calibri"/>
              </w:rPr>
              <w:t>**</w:t>
            </w:r>
          </w:p>
        </w:tc>
        <w:tc>
          <w:tcPr>
            <w:tcW w:w="1258" w:type="dxa"/>
            <w:shd w:val="clear" w:color="auto" w:fill="FFFFFF"/>
            <w:tcMar>
              <w:top w:w="0" w:type="dxa"/>
              <w:left w:w="10" w:type="dxa"/>
              <w:bottom w:w="0" w:type="dxa"/>
              <w:right w:w="10" w:type="dxa"/>
            </w:tcMar>
          </w:tcPr>
          <w:p w14:paraId="1E4995E1" w14:textId="77777777" w:rsidR="007A7EF1" w:rsidRPr="003A6A3F" w:rsidRDefault="007A7EF1" w:rsidP="00155986">
            <w:pPr>
              <w:pStyle w:val="Tabletext"/>
              <w:rPr>
                <w:rFonts w:eastAsia="Calibri"/>
              </w:rPr>
            </w:pPr>
            <w:r w:rsidRPr="003A6A3F">
              <w:rPr>
                <w:rFonts w:eastAsia="Calibri"/>
              </w:rPr>
              <w:t>.01(.10)</w:t>
            </w:r>
          </w:p>
        </w:tc>
      </w:tr>
      <w:tr w:rsidR="007A7EF1" w:rsidRPr="003A6A3F" w14:paraId="2BAFCE22" w14:textId="77777777" w:rsidTr="00385BEE">
        <w:trPr>
          <w:trHeight w:val="614"/>
        </w:trPr>
        <w:tc>
          <w:tcPr>
            <w:tcW w:w="1464" w:type="dxa"/>
            <w:shd w:val="clear" w:color="auto" w:fill="FFFFFF"/>
            <w:tcMar>
              <w:top w:w="0" w:type="dxa"/>
              <w:left w:w="10" w:type="dxa"/>
              <w:bottom w:w="0" w:type="dxa"/>
              <w:right w:w="10" w:type="dxa"/>
            </w:tcMar>
          </w:tcPr>
          <w:p w14:paraId="26F3B0A0" w14:textId="77777777" w:rsidR="007A7EF1" w:rsidRPr="003A6A3F" w:rsidRDefault="007A7EF1" w:rsidP="00155986">
            <w:pPr>
              <w:pStyle w:val="Tabletext"/>
              <w:rPr>
                <w:rFonts w:eastAsia="Calibri"/>
              </w:rPr>
            </w:pPr>
            <w:r w:rsidRPr="003A6A3F">
              <w:rPr>
                <w:rFonts w:eastAsia="Calibri"/>
              </w:rPr>
              <w:t xml:space="preserve">   Reading</w:t>
            </w:r>
          </w:p>
        </w:tc>
        <w:tc>
          <w:tcPr>
            <w:tcW w:w="38" w:type="dxa"/>
            <w:shd w:val="clear" w:color="auto" w:fill="FFFFFF"/>
            <w:tcMar>
              <w:top w:w="0" w:type="dxa"/>
              <w:left w:w="10" w:type="dxa"/>
              <w:bottom w:w="0" w:type="dxa"/>
              <w:right w:w="10" w:type="dxa"/>
            </w:tcMar>
          </w:tcPr>
          <w:p w14:paraId="6DCBB234" w14:textId="77777777" w:rsidR="007A7EF1" w:rsidRPr="003A6A3F" w:rsidRDefault="007A7EF1" w:rsidP="00155986">
            <w:pPr>
              <w:pStyle w:val="Tabletext"/>
              <w:rPr>
                <w:rFonts w:eastAsia="Calibri"/>
              </w:rPr>
            </w:pPr>
          </w:p>
        </w:tc>
        <w:tc>
          <w:tcPr>
            <w:tcW w:w="1050" w:type="dxa"/>
            <w:shd w:val="clear" w:color="auto" w:fill="FFFFFF"/>
            <w:tcMar>
              <w:top w:w="0" w:type="dxa"/>
              <w:left w:w="10" w:type="dxa"/>
              <w:bottom w:w="0" w:type="dxa"/>
              <w:right w:w="10" w:type="dxa"/>
            </w:tcMar>
          </w:tcPr>
          <w:p w14:paraId="3A806B0E" w14:textId="77777777" w:rsidR="007A7EF1" w:rsidRPr="003A6A3F" w:rsidRDefault="007A7EF1" w:rsidP="00155986">
            <w:pPr>
              <w:pStyle w:val="Tabletext"/>
              <w:rPr>
                <w:rFonts w:eastAsia="Calibri"/>
              </w:rPr>
            </w:pPr>
            <w:r w:rsidRPr="003A6A3F">
              <w:rPr>
                <w:rFonts w:eastAsia="Calibri"/>
              </w:rPr>
              <w:t>-.22(.</w:t>
            </w:r>
            <w:proofErr w:type="gramStart"/>
            <w:r w:rsidRPr="003A6A3F">
              <w:rPr>
                <w:rFonts w:eastAsia="Calibri"/>
              </w:rPr>
              <w:t>03)*</w:t>
            </w:r>
            <w:proofErr w:type="gramEnd"/>
            <w:r w:rsidRPr="003A6A3F">
              <w:rPr>
                <w:rFonts w:eastAsia="Calibri"/>
              </w:rPr>
              <w:t>**</w:t>
            </w:r>
          </w:p>
        </w:tc>
        <w:tc>
          <w:tcPr>
            <w:tcW w:w="1134" w:type="dxa"/>
            <w:shd w:val="clear" w:color="auto" w:fill="FFFFFF"/>
            <w:tcMar>
              <w:top w:w="0" w:type="dxa"/>
              <w:left w:w="10" w:type="dxa"/>
              <w:bottom w:w="0" w:type="dxa"/>
              <w:right w:w="10" w:type="dxa"/>
            </w:tcMar>
          </w:tcPr>
          <w:p w14:paraId="6B97BCCB" w14:textId="77777777" w:rsidR="007A7EF1" w:rsidRPr="003A6A3F" w:rsidRDefault="007A7EF1" w:rsidP="00155986">
            <w:pPr>
              <w:pStyle w:val="Tabletext"/>
              <w:rPr>
                <w:rFonts w:eastAsia="Calibri"/>
              </w:rPr>
            </w:pPr>
            <w:r w:rsidRPr="003A6A3F">
              <w:rPr>
                <w:rFonts w:eastAsia="Calibri"/>
              </w:rPr>
              <w:t>-.32(.</w:t>
            </w:r>
            <w:proofErr w:type="gramStart"/>
            <w:r w:rsidRPr="003A6A3F">
              <w:rPr>
                <w:rFonts w:eastAsia="Calibri"/>
              </w:rPr>
              <w:t>04)*</w:t>
            </w:r>
            <w:proofErr w:type="gramEnd"/>
            <w:r w:rsidRPr="003A6A3F">
              <w:rPr>
                <w:rFonts w:eastAsia="Calibri"/>
              </w:rPr>
              <w:t>**</w:t>
            </w:r>
          </w:p>
        </w:tc>
        <w:tc>
          <w:tcPr>
            <w:tcW w:w="1597" w:type="dxa"/>
            <w:shd w:val="clear" w:color="auto" w:fill="FFFFFF"/>
            <w:tcMar>
              <w:top w:w="0" w:type="dxa"/>
              <w:left w:w="10" w:type="dxa"/>
              <w:bottom w:w="0" w:type="dxa"/>
              <w:right w:w="10" w:type="dxa"/>
            </w:tcMar>
          </w:tcPr>
          <w:p w14:paraId="3732A73E" w14:textId="77777777" w:rsidR="007A7EF1" w:rsidRPr="003A6A3F" w:rsidRDefault="007A7EF1" w:rsidP="00155986">
            <w:pPr>
              <w:pStyle w:val="Tabletext"/>
              <w:rPr>
                <w:rFonts w:eastAsia="Calibri"/>
              </w:rPr>
            </w:pPr>
            <w:r w:rsidRPr="003A6A3F">
              <w:rPr>
                <w:rFonts w:eastAsia="Calibri"/>
              </w:rPr>
              <w:t>.16(.</w:t>
            </w:r>
            <w:proofErr w:type="gramStart"/>
            <w:r w:rsidRPr="003A6A3F">
              <w:rPr>
                <w:rFonts w:eastAsia="Calibri"/>
              </w:rPr>
              <w:t>03)*</w:t>
            </w:r>
            <w:proofErr w:type="gramEnd"/>
            <w:r w:rsidRPr="003A6A3F">
              <w:rPr>
                <w:rFonts w:eastAsia="Calibri"/>
              </w:rPr>
              <w:t>**</w:t>
            </w:r>
          </w:p>
        </w:tc>
        <w:tc>
          <w:tcPr>
            <w:tcW w:w="1396" w:type="dxa"/>
            <w:shd w:val="clear" w:color="auto" w:fill="FFFFFF"/>
            <w:tcMar>
              <w:top w:w="0" w:type="dxa"/>
              <w:left w:w="10" w:type="dxa"/>
              <w:bottom w:w="0" w:type="dxa"/>
              <w:right w:w="10" w:type="dxa"/>
            </w:tcMar>
          </w:tcPr>
          <w:p w14:paraId="2D46B3CA" w14:textId="77777777" w:rsidR="007A7EF1" w:rsidRPr="003A6A3F" w:rsidRDefault="007A7EF1" w:rsidP="00155986">
            <w:pPr>
              <w:pStyle w:val="Tabletext"/>
              <w:rPr>
                <w:rFonts w:eastAsia="Calibri"/>
              </w:rPr>
            </w:pPr>
            <w:r w:rsidRPr="003A6A3F">
              <w:rPr>
                <w:rFonts w:eastAsia="Calibri"/>
              </w:rPr>
              <w:t>.31(.</w:t>
            </w:r>
            <w:proofErr w:type="gramStart"/>
            <w:r w:rsidRPr="003A6A3F">
              <w:rPr>
                <w:rFonts w:eastAsia="Calibri"/>
              </w:rPr>
              <w:t>10)*</w:t>
            </w:r>
            <w:proofErr w:type="gramEnd"/>
            <w:r w:rsidRPr="003A6A3F">
              <w:rPr>
                <w:rFonts w:eastAsia="Calibri"/>
              </w:rPr>
              <w:t>**</w:t>
            </w:r>
          </w:p>
        </w:tc>
        <w:tc>
          <w:tcPr>
            <w:tcW w:w="1258" w:type="dxa"/>
            <w:shd w:val="clear" w:color="auto" w:fill="FFFFFF"/>
            <w:tcMar>
              <w:top w:w="0" w:type="dxa"/>
              <w:left w:w="10" w:type="dxa"/>
              <w:bottom w:w="0" w:type="dxa"/>
              <w:right w:w="10" w:type="dxa"/>
            </w:tcMar>
          </w:tcPr>
          <w:p w14:paraId="0C6C240D" w14:textId="77777777" w:rsidR="007A7EF1" w:rsidRPr="003A6A3F" w:rsidRDefault="007A7EF1" w:rsidP="00155986">
            <w:pPr>
              <w:pStyle w:val="Tabletext"/>
              <w:rPr>
                <w:rFonts w:eastAsia="Calibri"/>
              </w:rPr>
            </w:pPr>
            <w:r w:rsidRPr="003A6A3F">
              <w:rPr>
                <w:rFonts w:eastAsia="Calibri"/>
              </w:rPr>
              <w:t>-.04(.13)</w:t>
            </w:r>
          </w:p>
        </w:tc>
      </w:tr>
      <w:tr w:rsidR="007A7EF1" w:rsidRPr="003A6A3F" w14:paraId="65EBACDE" w14:textId="77777777" w:rsidTr="00385BEE">
        <w:trPr>
          <w:trHeight w:val="382"/>
        </w:trPr>
        <w:tc>
          <w:tcPr>
            <w:tcW w:w="1464" w:type="dxa"/>
            <w:tcBorders>
              <w:bottom w:val="single" w:sz="4" w:space="0" w:color="00000A"/>
            </w:tcBorders>
            <w:shd w:val="clear" w:color="auto" w:fill="FFFFFF"/>
            <w:tcMar>
              <w:top w:w="0" w:type="dxa"/>
              <w:left w:w="10" w:type="dxa"/>
              <w:bottom w:w="0" w:type="dxa"/>
              <w:right w:w="10" w:type="dxa"/>
            </w:tcMar>
          </w:tcPr>
          <w:p w14:paraId="1283A5CD" w14:textId="77777777" w:rsidR="007A7EF1" w:rsidRPr="003A6A3F" w:rsidRDefault="007A7EF1" w:rsidP="00155986">
            <w:pPr>
              <w:pStyle w:val="Tabletext"/>
              <w:rPr>
                <w:rFonts w:eastAsia="Calibri"/>
              </w:rPr>
            </w:pPr>
            <w:r w:rsidRPr="003A6A3F">
              <w:rPr>
                <w:rFonts w:eastAsia="Calibri"/>
              </w:rPr>
              <w:t xml:space="preserve">   Science</w:t>
            </w:r>
          </w:p>
        </w:tc>
        <w:tc>
          <w:tcPr>
            <w:tcW w:w="38" w:type="dxa"/>
            <w:tcBorders>
              <w:bottom w:val="single" w:sz="4" w:space="0" w:color="00000A"/>
            </w:tcBorders>
            <w:shd w:val="clear" w:color="auto" w:fill="FFFFFF"/>
            <w:tcMar>
              <w:top w:w="0" w:type="dxa"/>
              <w:left w:w="10" w:type="dxa"/>
              <w:bottom w:w="0" w:type="dxa"/>
              <w:right w:w="10" w:type="dxa"/>
            </w:tcMar>
          </w:tcPr>
          <w:p w14:paraId="5F7C6CD5" w14:textId="77777777" w:rsidR="007A7EF1" w:rsidRPr="003A6A3F" w:rsidRDefault="007A7EF1" w:rsidP="00155986">
            <w:pPr>
              <w:pStyle w:val="Tabletext"/>
              <w:rPr>
                <w:rFonts w:eastAsia="Calibri"/>
              </w:rPr>
            </w:pPr>
          </w:p>
        </w:tc>
        <w:tc>
          <w:tcPr>
            <w:tcW w:w="1050" w:type="dxa"/>
            <w:tcBorders>
              <w:bottom w:val="single" w:sz="4" w:space="0" w:color="00000A"/>
            </w:tcBorders>
            <w:shd w:val="clear" w:color="auto" w:fill="FFFFFF"/>
            <w:tcMar>
              <w:top w:w="0" w:type="dxa"/>
              <w:left w:w="10" w:type="dxa"/>
              <w:bottom w:w="0" w:type="dxa"/>
              <w:right w:w="10" w:type="dxa"/>
            </w:tcMar>
          </w:tcPr>
          <w:p w14:paraId="43680C88" w14:textId="77777777" w:rsidR="007A7EF1" w:rsidRPr="003A6A3F" w:rsidRDefault="007A7EF1" w:rsidP="00155986">
            <w:pPr>
              <w:pStyle w:val="Tabletext"/>
              <w:rPr>
                <w:rFonts w:eastAsia="Calibri"/>
              </w:rPr>
            </w:pPr>
            <w:r w:rsidRPr="003A6A3F">
              <w:rPr>
                <w:rFonts w:eastAsia="Calibri"/>
              </w:rPr>
              <w:t>.37(.</w:t>
            </w:r>
            <w:proofErr w:type="gramStart"/>
            <w:r w:rsidRPr="003A6A3F">
              <w:rPr>
                <w:rFonts w:eastAsia="Calibri"/>
              </w:rPr>
              <w:t>02)*</w:t>
            </w:r>
            <w:proofErr w:type="gramEnd"/>
            <w:r w:rsidRPr="003A6A3F">
              <w:rPr>
                <w:rFonts w:eastAsia="Calibri"/>
              </w:rPr>
              <w:t>**</w:t>
            </w:r>
          </w:p>
        </w:tc>
        <w:tc>
          <w:tcPr>
            <w:tcW w:w="1134" w:type="dxa"/>
            <w:tcBorders>
              <w:bottom w:val="single" w:sz="4" w:space="0" w:color="00000A"/>
            </w:tcBorders>
            <w:shd w:val="clear" w:color="auto" w:fill="FFFFFF"/>
            <w:tcMar>
              <w:top w:w="0" w:type="dxa"/>
              <w:left w:w="10" w:type="dxa"/>
              <w:bottom w:w="0" w:type="dxa"/>
              <w:right w:w="10" w:type="dxa"/>
            </w:tcMar>
          </w:tcPr>
          <w:p w14:paraId="09B59F7E" w14:textId="77777777" w:rsidR="007A7EF1" w:rsidRPr="003A6A3F" w:rsidRDefault="007A7EF1" w:rsidP="00155986">
            <w:pPr>
              <w:pStyle w:val="Tabletext"/>
              <w:rPr>
                <w:rFonts w:eastAsia="Calibri"/>
              </w:rPr>
            </w:pPr>
            <w:r w:rsidRPr="003A6A3F">
              <w:rPr>
                <w:rFonts w:eastAsia="Calibri"/>
              </w:rPr>
              <w:t>.17(.</w:t>
            </w:r>
            <w:proofErr w:type="gramStart"/>
            <w:r w:rsidRPr="003A6A3F">
              <w:rPr>
                <w:rFonts w:eastAsia="Calibri"/>
              </w:rPr>
              <w:t>03)*</w:t>
            </w:r>
            <w:proofErr w:type="gramEnd"/>
            <w:r w:rsidRPr="003A6A3F">
              <w:rPr>
                <w:rFonts w:eastAsia="Calibri"/>
              </w:rPr>
              <w:t>**</w:t>
            </w:r>
          </w:p>
        </w:tc>
        <w:tc>
          <w:tcPr>
            <w:tcW w:w="1597" w:type="dxa"/>
            <w:tcBorders>
              <w:bottom w:val="single" w:sz="4" w:space="0" w:color="00000A"/>
            </w:tcBorders>
            <w:shd w:val="clear" w:color="auto" w:fill="FFFFFF"/>
            <w:tcMar>
              <w:top w:w="0" w:type="dxa"/>
              <w:left w:w="10" w:type="dxa"/>
              <w:bottom w:w="0" w:type="dxa"/>
              <w:right w:w="10" w:type="dxa"/>
            </w:tcMar>
          </w:tcPr>
          <w:p w14:paraId="17B44F56" w14:textId="77777777" w:rsidR="007A7EF1" w:rsidRPr="003A6A3F" w:rsidRDefault="007A7EF1" w:rsidP="00155986">
            <w:pPr>
              <w:pStyle w:val="Tabletext"/>
              <w:rPr>
                <w:rFonts w:eastAsia="Calibri"/>
              </w:rPr>
            </w:pPr>
            <w:r w:rsidRPr="003A6A3F">
              <w:rPr>
                <w:rFonts w:eastAsia="Calibri"/>
              </w:rPr>
              <w:t>.05(.04)</w:t>
            </w:r>
          </w:p>
        </w:tc>
        <w:tc>
          <w:tcPr>
            <w:tcW w:w="1396" w:type="dxa"/>
            <w:tcBorders>
              <w:bottom w:val="single" w:sz="4" w:space="0" w:color="00000A"/>
            </w:tcBorders>
            <w:shd w:val="clear" w:color="auto" w:fill="FFFFFF"/>
            <w:tcMar>
              <w:top w:w="0" w:type="dxa"/>
              <w:left w:w="10" w:type="dxa"/>
              <w:bottom w:w="0" w:type="dxa"/>
              <w:right w:w="10" w:type="dxa"/>
            </w:tcMar>
          </w:tcPr>
          <w:p w14:paraId="7B54504F" w14:textId="77777777" w:rsidR="007A7EF1" w:rsidRPr="003A6A3F" w:rsidRDefault="007A7EF1" w:rsidP="00155986">
            <w:pPr>
              <w:pStyle w:val="Tabletext"/>
              <w:rPr>
                <w:rFonts w:eastAsia="Calibri"/>
              </w:rPr>
            </w:pPr>
            <w:r w:rsidRPr="003A6A3F">
              <w:rPr>
                <w:rFonts w:eastAsia="Calibri"/>
              </w:rPr>
              <w:t>.09(.10)</w:t>
            </w:r>
          </w:p>
        </w:tc>
        <w:tc>
          <w:tcPr>
            <w:tcW w:w="1258" w:type="dxa"/>
            <w:tcBorders>
              <w:bottom w:val="single" w:sz="4" w:space="0" w:color="00000A"/>
            </w:tcBorders>
            <w:shd w:val="clear" w:color="auto" w:fill="FFFFFF"/>
            <w:tcMar>
              <w:top w:w="0" w:type="dxa"/>
              <w:left w:w="10" w:type="dxa"/>
              <w:bottom w:w="0" w:type="dxa"/>
              <w:right w:w="10" w:type="dxa"/>
            </w:tcMar>
          </w:tcPr>
          <w:p w14:paraId="6C99DE22" w14:textId="77777777" w:rsidR="007A7EF1" w:rsidRPr="003A6A3F" w:rsidRDefault="007A7EF1" w:rsidP="00155986">
            <w:pPr>
              <w:pStyle w:val="Tabletext"/>
              <w:rPr>
                <w:rFonts w:eastAsia="Calibri"/>
              </w:rPr>
            </w:pPr>
            <w:r w:rsidRPr="003A6A3F">
              <w:rPr>
                <w:rFonts w:eastAsia="Calibri"/>
              </w:rPr>
              <w:t>.10(.12)</w:t>
            </w:r>
          </w:p>
        </w:tc>
      </w:tr>
      <w:tr w:rsidR="007A7EF1" w:rsidRPr="003A6A3F" w14:paraId="2525AA42" w14:textId="77777777" w:rsidTr="00385BEE">
        <w:trPr>
          <w:trHeight w:val="356"/>
        </w:trPr>
        <w:tc>
          <w:tcPr>
            <w:tcW w:w="1464" w:type="dxa"/>
            <w:tcBorders>
              <w:top w:val="single" w:sz="4" w:space="0" w:color="00000A"/>
              <w:bottom w:val="single" w:sz="4" w:space="0" w:color="00000A"/>
            </w:tcBorders>
            <w:shd w:val="clear" w:color="auto" w:fill="FFFFFF"/>
            <w:tcMar>
              <w:top w:w="0" w:type="dxa"/>
              <w:left w:w="10" w:type="dxa"/>
              <w:bottom w:w="0" w:type="dxa"/>
              <w:right w:w="10" w:type="dxa"/>
            </w:tcMar>
            <w:vAlign w:val="center"/>
          </w:tcPr>
          <w:p w14:paraId="1D53BDDB" w14:textId="77777777" w:rsidR="007A7EF1" w:rsidRPr="003A6A3F" w:rsidRDefault="007A7EF1" w:rsidP="00155986">
            <w:pPr>
              <w:pStyle w:val="Tabletext"/>
              <w:rPr>
                <w:rFonts w:eastAsia="Calibri"/>
              </w:rPr>
            </w:pPr>
            <w:r w:rsidRPr="003A6A3F">
              <w:rPr>
                <w:rFonts w:eastAsia="Calibri"/>
              </w:rPr>
              <w:t>R-square</w:t>
            </w:r>
          </w:p>
        </w:tc>
        <w:tc>
          <w:tcPr>
            <w:tcW w:w="38" w:type="dxa"/>
            <w:tcBorders>
              <w:top w:val="single" w:sz="4" w:space="0" w:color="00000A"/>
              <w:bottom w:val="single" w:sz="4" w:space="0" w:color="00000A"/>
            </w:tcBorders>
            <w:shd w:val="clear" w:color="auto" w:fill="FFFFFF"/>
            <w:tcMar>
              <w:top w:w="0" w:type="dxa"/>
              <w:left w:w="10" w:type="dxa"/>
              <w:bottom w:w="0" w:type="dxa"/>
              <w:right w:w="10" w:type="dxa"/>
            </w:tcMar>
            <w:vAlign w:val="center"/>
          </w:tcPr>
          <w:p w14:paraId="30A7420B" w14:textId="77777777" w:rsidR="007A7EF1" w:rsidRPr="003A6A3F" w:rsidRDefault="007A7EF1" w:rsidP="00155986">
            <w:pPr>
              <w:pStyle w:val="Tabletext"/>
              <w:rPr>
                <w:rFonts w:eastAsia="Calibri"/>
              </w:rPr>
            </w:pPr>
          </w:p>
        </w:tc>
        <w:tc>
          <w:tcPr>
            <w:tcW w:w="1050" w:type="dxa"/>
            <w:tcBorders>
              <w:top w:val="single" w:sz="4" w:space="0" w:color="00000A"/>
              <w:bottom w:val="single" w:sz="4" w:space="0" w:color="00000A"/>
            </w:tcBorders>
            <w:shd w:val="clear" w:color="auto" w:fill="FFFFFF"/>
            <w:tcMar>
              <w:top w:w="0" w:type="dxa"/>
              <w:left w:w="10" w:type="dxa"/>
              <w:bottom w:w="0" w:type="dxa"/>
              <w:right w:w="10" w:type="dxa"/>
            </w:tcMar>
            <w:vAlign w:val="center"/>
          </w:tcPr>
          <w:p w14:paraId="1B9D5E6A" w14:textId="77777777" w:rsidR="007A7EF1" w:rsidRPr="003A6A3F" w:rsidRDefault="007A7EF1" w:rsidP="00155986">
            <w:pPr>
              <w:pStyle w:val="Tabletext"/>
              <w:rPr>
                <w:rFonts w:eastAsia="Calibri"/>
              </w:rPr>
            </w:pPr>
            <w:r w:rsidRPr="003A6A3F">
              <w:rPr>
                <w:rFonts w:eastAsia="Calibri"/>
              </w:rPr>
              <w:t>.41</w:t>
            </w:r>
          </w:p>
        </w:tc>
        <w:tc>
          <w:tcPr>
            <w:tcW w:w="1134" w:type="dxa"/>
            <w:tcBorders>
              <w:top w:val="single" w:sz="4" w:space="0" w:color="00000A"/>
              <w:bottom w:val="single" w:sz="4" w:space="0" w:color="00000A"/>
            </w:tcBorders>
            <w:shd w:val="clear" w:color="auto" w:fill="FFFFFF"/>
            <w:tcMar>
              <w:top w:w="0" w:type="dxa"/>
              <w:left w:w="10" w:type="dxa"/>
              <w:bottom w:w="0" w:type="dxa"/>
              <w:right w:w="10" w:type="dxa"/>
            </w:tcMar>
            <w:vAlign w:val="center"/>
          </w:tcPr>
          <w:p w14:paraId="7F3BC7BE" w14:textId="77777777" w:rsidR="007A7EF1" w:rsidRPr="003A6A3F" w:rsidRDefault="007A7EF1" w:rsidP="00155986">
            <w:pPr>
              <w:pStyle w:val="Tabletext"/>
              <w:rPr>
                <w:rFonts w:eastAsia="Calibri"/>
              </w:rPr>
            </w:pPr>
            <w:r w:rsidRPr="003A6A3F">
              <w:rPr>
                <w:rFonts w:eastAsia="Calibri"/>
              </w:rPr>
              <w:t>.25</w:t>
            </w:r>
          </w:p>
        </w:tc>
        <w:tc>
          <w:tcPr>
            <w:tcW w:w="1597" w:type="dxa"/>
            <w:tcBorders>
              <w:top w:val="single" w:sz="4" w:space="0" w:color="00000A"/>
              <w:bottom w:val="single" w:sz="4" w:space="0" w:color="00000A"/>
            </w:tcBorders>
            <w:shd w:val="clear" w:color="auto" w:fill="FFFFFF"/>
            <w:tcMar>
              <w:top w:w="0" w:type="dxa"/>
              <w:left w:w="10" w:type="dxa"/>
              <w:bottom w:w="0" w:type="dxa"/>
              <w:right w:w="10" w:type="dxa"/>
            </w:tcMar>
            <w:vAlign w:val="center"/>
          </w:tcPr>
          <w:p w14:paraId="336ACFEA" w14:textId="77777777" w:rsidR="007A7EF1" w:rsidRPr="003A6A3F" w:rsidRDefault="007A7EF1" w:rsidP="00155986">
            <w:pPr>
              <w:pStyle w:val="Tabletext"/>
              <w:rPr>
                <w:rFonts w:eastAsia="Calibri"/>
              </w:rPr>
            </w:pPr>
            <w:r w:rsidRPr="003A6A3F">
              <w:rPr>
                <w:rFonts w:eastAsia="Calibri"/>
              </w:rPr>
              <w:t>.43</w:t>
            </w:r>
          </w:p>
        </w:tc>
        <w:tc>
          <w:tcPr>
            <w:tcW w:w="1396" w:type="dxa"/>
            <w:tcBorders>
              <w:top w:val="single" w:sz="4" w:space="0" w:color="00000A"/>
              <w:bottom w:val="single" w:sz="4" w:space="0" w:color="00000A"/>
            </w:tcBorders>
            <w:shd w:val="clear" w:color="auto" w:fill="FFFFFF"/>
            <w:tcMar>
              <w:top w:w="0" w:type="dxa"/>
              <w:left w:w="10" w:type="dxa"/>
              <w:bottom w:w="0" w:type="dxa"/>
              <w:right w:w="10" w:type="dxa"/>
            </w:tcMar>
            <w:vAlign w:val="center"/>
          </w:tcPr>
          <w:p w14:paraId="23B722A5" w14:textId="77777777" w:rsidR="007A7EF1" w:rsidRPr="003A6A3F" w:rsidRDefault="007A7EF1" w:rsidP="00155986">
            <w:pPr>
              <w:pStyle w:val="Tabletext"/>
              <w:rPr>
                <w:rFonts w:eastAsia="Calibri"/>
              </w:rPr>
            </w:pPr>
            <w:r w:rsidRPr="003A6A3F">
              <w:rPr>
                <w:rFonts w:eastAsia="Calibri"/>
              </w:rPr>
              <w:t>.57</w:t>
            </w:r>
          </w:p>
        </w:tc>
        <w:tc>
          <w:tcPr>
            <w:tcW w:w="1258" w:type="dxa"/>
            <w:tcBorders>
              <w:top w:val="single" w:sz="4" w:space="0" w:color="00000A"/>
              <w:bottom w:val="single" w:sz="4" w:space="0" w:color="00000A"/>
            </w:tcBorders>
            <w:shd w:val="clear" w:color="auto" w:fill="FFFFFF"/>
            <w:tcMar>
              <w:top w:w="0" w:type="dxa"/>
              <w:left w:w="10" w:type="dxa"/>
              <w:bottom w:w="0" w:type="dxa"/>
              <w:right w:w="10" w:type="dxa"/>
            </w:tcMar>
            <w:vAlign w:val="center"/>
          </w:tcPr>
          <w:p w14:paraId="43B8D73A" w14:textId="77777777" w:rsidR="007A7EF1" w:rsidRPr="003A6A3F" w:rsidRDefault="007A7EF1" w:rsidP="00155986">
            <w:pPr>
              <w:pStyle w:val="Tabletext"/>
              <w:rPr>
                <w:rFonts w:eastAsia="Calibri"/>
              </w:rPr>
            </w:pPr>
            <w:r w:rsidRPr="003A6A3F">
              <w:rPr>
                <w:rFonts w:eastAsia="Calibri"/>
              </w:rPr>
              <w:t>.06</w:t>
            </w:r>
          </w:p>
        </w:tc>
      </w:tr>
    </w:tbl>
    <w:p w14:paraId="310165D1" w14:textId="74BE3F2F" w:rsidR="007A7EF1" w:rsidRPr="003A6A3F" w:rsidRDefault="007A7EF1" w:rsidP="00AD173F">
      <w:pPr>
        <w:pStyle w:val="Source"/>
        <w:rPr>
          <w:rFonts w:eastAsia="Calibri"/>
        </w:rPr>
      </w:pPr>
      <w:r w:rsidRPr="003A6A3F">
        <w:rPr>
          <w:rFonts w:eastAsia="Calibri"/>
          <w:i/>
        </w:rPr>
        <w:t xml:space="preserve">Notes. </w:t>
      </w:r>
      <w:r w:rsidRPr="003A6A3F">
        <w:rPr>
          <w:rFonts w:eastAsia="Calibri"/>
        </w:rPr>
        <w:t xml:space="preserve">* p &lt; .05, ** p &lt; .01, *** p &lt; .001. Standard errors are in parentheses. Model adjusted for socioeconomic status, year </w:t>
      </w:r>
      <w:r w:rsidR="00866037">
        <w:rPr>
          <w:rFonts w:eastAsia="Calibri"/>
        </w:rPr>
        <w:t>level</w:t>
      </w:r>
      <w:r w:rsidRPr="003A6A3F">
        <w:rPr>
          <w:rFonts w:eastAsia="Calibri"/>
        </w:rPr>
        <w:t xml:space="preserve"> at first wave of testing, gender, immigrant status, and Indigenous status.</w:t>
      </w:r>
    </w:p>
    <w:p w14:paraId="1DABD37A" w14:textId="292047BE" w:rsidR="007A7EF1" w:rsidRDefault="007A7EF1" w:rsidP="00AD173F">
      <w:pPr>
        <w:pStyle w:val="Text"/>
      </w:pPr>
      <w:r>
        <w:t>We found that achievement predicted both self-beliefs. Controlling for prior achievement and a host of covariates, we also found that self-concept and self-efficacy were significant predictors of university entrance scores. Further, we found that self-efficacy was a significant predictor of university entry, and self-concept was a significant predictor of STEM course selection. The results provide longitudinal support for the distinct value of self-efficacy and self-concept in predicting high-stakes outcomes.</w:t>
      </w:r>
    </w:p>
    <w:p w14:paraId="63DCACE9" w14:textId="77777777" w:rsidR="007A7EF1" w:rsidRDefault="007A7EF1" w:rsidP="007A7EF1">
      <w:pPr>
        <w:pStyle w:val="Heading2"/>
      </w:pPr>
      <w:bookmarkStart w:id="199" w:name="_Toc15048943"/>
      <w:bookmarkStart w:id="200" w:name="_Toc19803956"/>
      <w:r>
        <w:t>Implications</w:t>
      </w:r>
      <w:bookmarkEnd w:id="199"/>
      <w:bookmarkEnd w:id="200"/>
    </w:p>
    <w:p w14:paraId="23E24C53" w14:textId="419BF95A" w:rsidR="007A7EF1" w:rsidRDefault="007A7EF1" w:rsidP="00D522F6">
      <w:pPr>
        <w:pStyle w:val="Text"/>
      </w:pPr>
      <w:r>
        <w:t>When</w:t>
      </w:r>
      <w:r w:rsidR="0023395F">
        <w:t xml:space="preserve"> </w:t>
      </w:r>
      <w:r>
        <w:t xml:space="preserve">academic outcomes </w:t>
      </w:r>
      <w:r w:rsidR="00AD173F">
        <w:t xml:space="preserve">are </w:t>
      </w:r>
      <w:r>
        <w:t>based on progression</w:t>
      </w:r>
      <w:r w:rsidR="0023395F">
        <w:t xml:space="preserve"> </w:t>
      </w:r>
      <w:r>
        <w:t>—</w:t>
      </w:r>
      <w:r w:rsidR="0023395F">
        <w:t xml:space="preserve"> </w:t>
      </w:r>
      <w:r>
        <w:t>what we call vertical decisions</w:t>
      </w:r>
      <w:r w:rsidR="0023395F">
        <w:t xml:space="preserve"> </w:t>
      </w:r>
      <w:r>
        <w:t>—</w:t>
      </w:r>
      <w:r w:rsidR="0023395F">
        <w:t xml:space="preserve"> </w:t>
      </w:r>
      <w:r>
        <w:t xml:space="preserve">then descriptions of competence </w:t>
      </w:r>
      <w:r w:rsidR="0023395F">
        <w:t>such as</w:t>
      </w:r>
      <w:r>
        <w:t xml:space="preserve"> those found in self-efficacy are likely to be among the most important non-cognitive predictors. This is because an individual’s decision </w:t>
      </w:r>
      <w:r w:rsidR="00F012D7">
        <w:t xml:space="preserve">on </w:t>
      </w:r>
      <w:r>
        <w:t>whether to go to university depend</w:t>
      </w:r>
      <w:r w:rsidR="00AD173F">
        <w:t>s</w:t>
      </w:r>
      <w:r>
        <w:t xml:space="preserve"> on their expectations of being successful in that arena. For outcomes which depend on the choice between academic domain options</w:t>
      </w:r>
      <w:r w:rsidR="00F012D7">
        <w:t xml:space="preserve"> </w:t>
      </w:r>
      <w:r>
        <w:t>—</w:t>
      </w:r>
      <w:r w:rsidR="00F012D7">
        <w:t xml:space="preserve"> </w:t>
      </w:r>
      <w:r>
        <w:t>what we call horizontal decision</w:t>
      </w:r>
      <w:r w:rsidR="00AD1158">
        <w:t>s</w:t>
      </w:r>
      <w:r w:rsidR="00F012D7">
        <w:t xml:space="preserve"> </w:t>
      </w:r>
      <w:r>
        <w:t>—</w:t>
      </w:r>
      <w:r w:rsidR="00F012D7">
        <w:t xml:space="preserve"> </w:t>
      </w:r>
      <w:r>
        <w:t>self-concept may be the most important non-cognitive factor. This is because self-concept reflects normative assessments</w:t>
      </w:r>
      <w:r w:rsidR="00F012D7">
        <w:t xml:space="preserve"> </w:t>
      </w:r>
      <w:r>
        <w:t>—</w:t>
      </w:r>
      <w:r w:rsidR="00F012D7">
        <w:t xml:space="preserve"> </w:t>
      </w:r>
      <w:r>
        <w:t>am I better at this than that</w:t>
      </w:r>
      <w:r w:rsidR="00F012D7">
        <w:t xml:space="preserve"> </w:t>
      </w:r>
      <w:r>
        <w:t>—</w:t>
      </w:r>
      <w:r w:rsidR="00F012D7">
        <w:t xml:space="preserve"> </w:t>
      </w:r>
      <w:r>
        <w:t xml:space="preserve">rather than positive statements about whether I can do a specific task. Thus, self-concepts help young people </w:t>
      </w:r>
      <w:r w:rsidR="0083431A">
        <w:t xml:space="preserve">to </w:t>
      </w:r>
      <w:r>
        <w:t>make choices from a range of similar options</w:t>
      </w:r>
      <w:r w:rsidR="0083431A">
        <w:t>, meaning that</w:t>
      </w:r>
      <w:r>
        <w:t xml:space="preserve"> individuals who are gifted in all academic areas are likely to qualify for university but their choice of whether to take a STEM major will depend on whether they consider their math</w:t>
      </w:r>
      <w:r w:rsidR="0083431A">
        <w:t>s</w:t>
      </w:r>
      <w:r>
        <w:t xml:space="preserve"> or verbal </w:t>
      </w:r>
      <w:r>
        <w:lastRenderedPageBreak/>
        <w:t>abilities as their ma</w:t>
      </w:r>
      <w:r w:rsidR="0083431A">
        <w:t>i</w:t>
      </w:r>
      <w:r>
        <w:t xml:space="preserve">n strength (Parker et al. 2012). This may well have implications for efforts to increase participation in STEM. </w:t>
      </w:r>
      <w:proofErr w:type="gramStart"/>
      <w:r>
        <w:t>In particular it</w:t>
      </w:r>
      <w:proofErr w:type="gramEnd"/>
      <w:r>
        <w:t xml:space="preserve"> will not be enough </w:t>
      </w:r>
      <w:r w:rsidR="00C25966">
        <w:t>for</w:t>
      </w:r>
      <w:r>
        <w:t xml:space="preserve"> young people to think of themselves as good at science and math</w:t>
      </w:r>
      <w:r w:rsidR="00C25966">
        <w:t>s;</w:t>
      </w:r>
      <w:r>
        <w:t xml:space="preserve"> they may also need to think of themselves as relatively better at these subjects than literacy, history, and the humanities (Parker et al. 2012).</w:t>
      </w:r>
    </w:p>
    <w:p w14:paraId="2EEE0905" w14:textId="26610130" w:rsidR="00B02EAA" w:rsidRDefault="007A7EF1" w:rsidP="00842AE4">
      <w:pPr>
        <w:pStyle w:val="Text"/>
        <w:sectPr w:rsidR="00B02EAA" w:rsidSect="00AD173F">
          <w:pgSz w:w="11907" w:h="16840" w:code="9"/>
          <w:pgMar w:top="1276" w:right="2552" w:bottom="1276" w:left="1418" w:header="709" w:footer="556" w:gutter="0"/>
          <w:cols w:space="708"/>
          <w:docGrid w:linePitch="360"/>
        </w:sectPr>
      </w:pPr>
      <w:r>
        <w:t>Since Heckman (2006)</w:t>
      </w:r>
      <w:r w:rsidR="006D4F61">
        <w:t>,</w:t>
      </w:r>
      <w:r>
        <w:t xml:space="preserve"> research has bloomed on the role of non-cognitive factors in predicting academic outcomes. This research has cut across disciplines</w:t>
      </w:r>
      <w:r w:rsidR="000D30C5">
        <w:t>,</w:t>
      </w:r>
      <w:r>
        <w:t xml:space="preserve"> making non-cognitive research one of the most interesting areas </w:t>
      </w:r>
      <w:r w:rsidR="00073CFB">
        <w:t xml:space="preserve">in which </w:t>
      </w:r>
      <w:r>
        <w:t>to work. From this body of research, we can now say with some confidence that success in life requires more than just ‘smarts’</w:t>
      </w:r>
      <w:r w:rsidR="00073CFB">
        <w:t>,</w:t>
      </w:r>
      <w:r>
        <w:t xml:space="preserve"> and educational policy would be wise to consider how to promote helpful non-cognitive skills. What we now need is more nuanced research on which non-cognitive factors are helpful for what outcome under which conditions. LSAY data are well placed to contribute to this much needed area of research.</w:t>
      </w:r>
    </w:p>
    <w:p w14:paraId="3B7F9913" w14:textId="77777777" w:rsidR="002302E9" w:rsidRDefault="002302E9" w:rsidP="00B02EAA">
      <w:pPr>
        <w:pStyle w:val="Heading2"/>
        <w:spacing w:before="0" w:after="240"/>
      </w:pPr>
      <w:bookmarkStart w:id="201" w:name="_Toc15048944"/>
      <w:bookmarkStart w:id="202" w:name="_Toc19803957"/>
    </w:p>
    <w:p w14:paraId="240E14F6" w14:textId="1D7F662D" w:rsidR="007A7EF1" w:rsidRDefault="007A7EF1" w:rsidP="00B02EAA">
      <w:pPr>
        <w:pStyle w:val="Heading2"/>
        <w:spacing w:before="0" w:after="240"/>
      </w:pPr>
      <w:r>
        <w:t>References</w:t>
      </w:r>
      <w:bookmarkEnd w:id="201"/>
      <w:bookmarkEnd w:id="202"/>
    </w:p>
    <w:p w14:paraId="4B46DE0F" w14:textId="6C19ADEC" w:rsidR="007A7EF1" w:rsidRPr="00CD5AF8" w:rsidRDefault="007A7EF1" w:rsidP="00B02EAA">
      <w:pPr>
        <w:pStyle w:val="References"/>
      </w:pPr>
      <w:r>
        <w:t xml:space="preserve">Bandura, A 1986, ‘The explanatory and predictive scope of self-efficacy theory’, </w:t>
      </w:r>
      <w:r>
        <w:rPr>
          <w:i/>
        </w:rPr>
        <w:t>Journal of Social and Clinical Psychology</w:t>
      </w:r>
      <w:r>
        <w:t>, vol.4, pp.359</w:t>
      </w:r>
      <w:r w:rsidR="00B929E6">
        <w:t>−</w:t>
      </w:r>
      <w:r>
        <w:t>73.</w:t>
      </w:r>
    </w:p>
    <w:p w14:paraId="78C1C43B" w14:textId="3239799F" w:rsidR="007A7EF1" w:rsidRPr="00CD5AF8" w:rsidRDefault="007A7EF1" w:rsidP="00B02EAA">
      <w:pPr>
        <w:pStyle w:val="References"/>
      </w:pPr>
      <w:r>
        <w:t xml:space="preserve">Bong, M &amp; </w:t>
      </w:r>
      <w:proofErr w:type="spellStart"/>
      <w:r>
        <w:t>Skaalvik</w:t>
      </w:r>
      <w:proofErr w:type="spellEnd"/>
      <w:r>
        <w:t xml:space="preserve">, EM 2003, ‘Academic self-concept and self-efficacy: how different are they really?’, </w:t>
      </w:r>
      <w:r>
        <w:rPr>
          <w:i/>
        </w:rPr>
        <w:t>Educational Psychology Review</w:t>
      </w:r>
      <w:r>
        <w:t>, vol.15, pp.1</w:t>
      </w:r>
      <w:r w:rsidR="00B929E6">
        <w:t>−</w:t>
      </w:r>
      <w:r>
        <w:t>40.</w:t>
      </w:r>
    </w:p>
    <w:p w14:paraId="3C920305" w14:textId="32B77DA8" w:rsidR="007A7EF1" w:rsidRDefault="007A7EF1" w:rsidP="00B02EAA">
      <w:pPr>
        <w:pStyle w:val="References"/>
      </w:pPr>
      <w:r>
        <w:t xml:space="preserve">Bradley, D, Noonan, P, Nugent, H, &amp; Scales, B 2008, </w:t>
      </w:r>
      <w:r>
        <w:rPr>
          <w:i/>
        </w:rPr>
        <w:t xml:space="preserve">Review of Australian </w:t>
      </w:r>
      <w:r w:rsidR="00562DF0">
        <w:rPr>
          <w:i/>
        </w:rPr>
        <w:t>higher education</w:t>
      </w:r>
      <w:r>
        <w:t xml:space="preserve">, </w:t>
      </w:r>
      <w:r w:rsidR="008A23C3">
        <w:t xml:space="preserve">Department of </w:t>
      </w:r>
      <w:r w:rsidR="008A23C3" w:rsidRPr="00C90374">
        <w:t>Education</w:t>
      </w:r>
      <w:r w:rsidR="008A23C3">
        <w:t xml:space="preserve">, Employment and Workplace </w:t>
      </w:r>
      <w:r w:rsidR="00B306D2">
        <w:t>R</w:t>
      </w:r>
      <w:r w:rsidR="008A23C3">
        <w:t>elations</w:t>
      </w:r>
      <w:r>
        <w:t>, Canberra.</w:t>
      </w:r>
    </w:p>
    <w:p w14:paraId="488AACC2" w14:textId="60AC7CDE" w:rsidR="007A7EF1" w:rsidRDefault="007A7EF1" w:rsidP="00B02EAA">
      <w:pPr>
        <w:pStyle w:val="References"/>
      </w:pPr>
      <w:r>
        <w:t>Evans, C 2011, speech from the Australian Financial Review Higher Education Conference</w:t>
      </w:r>
      <w:r w:rsidR="00B306D2">
        <w:t>, 28 June</w:t>
      </w:r>
      <w:r w:rsidR="00AD1158">
        <w:t xml:space="preserve"> 2011</w:t>
      </w:r>
      <w:r w:rsidR="00B306D2">
        <w:t>.</w:t>
      </w:r>
    </w:p>
    <w:p w14:paraId="0B12756E" w14:textId="2DF77CD5" w:rsidR="007A7EF1" w:rsidRPr="00CD5AF8" w:rsidRDefault="007A7EF1" w:rsidP="00B02EAA">
      <w:pPr>
        <w:pStyle w:val="References"/>
      </w:pPr>
      <w:r>
        <w:t xml:space="preserve">Gillard, J 2012, </w:t>
      </w:r>
      <w:r w:rsidR="00F8036B">
        <w:t>‘</w:t>
      </w:r>
      <w:r w:rsidRPr="00C90374">
        <w:t xml:space="preserve">A </w:t>
      </w:r>
      <w:r w:rsidR="00B306D2" w:rsidRPr="00B306D2">
        <w:rPr>
          <w:iCs/>
        </w:rPr>
        <w:t>national plan</w:t>
      </w:r>
      <w:r w:rsidR="00B306D2" w:rsidRPr="00C90374">
        <w:t xml:space="preserve"> for </w:t>
      </w:r>
      <w:r w:rsidR="00B306D2" w:rsidRPr="00B306D2">
        <w:rPr>
          <w:iCs/>
        </w:rPr>
        <w:t>school improvement</w:t>
      </w:r>
      <w:r w:rsidR="00F8036B">
        <w:rPr>
          <w:iCs/>
        </w:rPr>
        <w:t>’</w:t>
      </w:r>
      <w:r>
        <w:t>, speech to National Press Club, Canberra, 3</w:t>
      </w:r>
      <w:r w:rsidR="00D17B7A">
        <w:t xml:space="preserve"> </w:t>
      </w:r>
      <w:r>
        <w:t>September 2012.</w:t>
      </w:r>
    </w:p>
    <w:p w14:paraId="5E2FC677" w14:textId="543F3880" w:rsidR="007A7EF1" w:rsidRPr="00CD5AF8" w:rsidRDefault="007A7EF1" w:rsidP="00B02EAA">
      <w:pPr>
        <w:pStyle w:val="References"/>
      </w:pPr>
      <w:r>
        <w:t xml:space="preserve">Goldin, C &amp; Katz, LF 2007, </w:t>
      </w:r>
      <w:r>
        <w:rPr>
          <w:i/>
        </w:rPr>
        <w:t>The race between education and technology: the evolution of US educational wage differentials, 1890 to 2005</w:t>
      </w:r>
      <w:r>
        <w:t xml:space="preserve">, </w:t>
      </w:r>
      <w:r w:rsidR="002A20F0">
        <w:t xml:space="preserve">NBER working paper </w:t>
      </w:r>
      <w:r>
        <w:t>no.12984, National Bureau of Economics Research</w:t>
      </w:r>
      <w:r w:rsidR="002A20F0">
        <w:t>, Washington, DC</w:t>
      </w:r>
      <w:r>
        <w:t>.</w:t>
      </w:r>
    </w:p>
    <w:p w14:paraId="69DDA456" w14:textId="263E771D" w:rsidR="007A7EF1" w:rsidRPr="00CD5AF8" w:rsidRDefault="007A7EF1" w:rsidP="00B02EAA">
      <w:pPr>
        <w:pStyle w:val="References"/>
      </w:pPr>
      <w:r>
        <w:t xml:space="preserve">Heckman, JJ 2006, ‘Skill formation and the economics of investing in disadvantaged children’, </w:t>
      </w:r>
      <w:r>
        <w:rPr>
          <w:i/>
        </w:rPr>
        <w:t>Science</w:t>
      </w:r>
      <w:r>
        <w:t>, vol.312, pp.1900</w:t>
      </w:r>
      <w:r w:rsidR="002A20F0">
        <w:t>−</w:t>
      </w:r>
      <w:r>
        <w:t>12.</w:t>
      </w:r>
    </w:p>
    <w:p w14:paraId="76F660AA" w14:textId="6FE3A956" w:rsidR="007A7EF1" w:rsidRPr="0053292B" w:rsidRDefault="007A7EF1" w:rsidP="00B02EAA">
      <w:pPr>
        <w:pStyle w:val="References"/>
      </w:pPr>
      <w:r>
        <w:t xml:space="preserve">Marks, G, MacMillan, J, &amp; Hillman, K 2001, </w:t>
      </w:r>
      <w:r>
        <w:rPr>
          <w:i/>
        </w:rPr>
        <w:t>Tertiary entrance performance: the role of student background and school factors</w:t>
      </w:r>
      <w:r>
        <w:t xml:space="preserve">, </w:t>
      </w:r>
      <w:r w:rsidR="002A20F0">
        <w:t>A</w:t>
      </w:r>
      <w:r w:rsidR="008023E3">
        <w:t>ustralian Council for Educational Research,</w:t>
      </w:r>
      <w:r w:rsidR="002A20F0">
        <w:t xml:space="preserve"> </w:t>
      </w:r>
      <w:r>
        <w:t>Camberwell, Vic.</w:t>
      </w:r>
    </w:p>
    <w:p w14:paraId="64E74966" w14:textId="186756E7" w:rsidR="007A7EF1" w:rsidRPr="0053292B" w:rsidRDefault="007A7EF1" w:rsidP="00B02EAA">
      <w:pPr>
        <w:pStyle w:val="References"/>
      </w:pPr>
      <w:r>
        <w:t xml:space="preserve">Marsh, HW 2007, </w:t>
      </w:r>
      <w:r>
        <w:rPr>
          <w:i/>
        </w:rPr>
        <w:t>Self-concept theory, measurement and research into practice: the role of self-concept in educational psychology</w:t>
      </w:r>
      <w:r>
        <w:t>, British Psychological Society</w:t>
      </w:r>
      <w:r w:rsidR="008023E3">
        <w:t>,</w:t>
      </w:r>
      <w:r w:rsidR="008023E3" w:rsidRPr="008023E3">
        <w:t xml:space="preserve"> </w:t>
      </w:r>
      <w:r w:rsidR="008023E3">
        <w:t>Leicester, UK</w:t>
      </w:r>
      <w:r>
        <w:t>.</w:t>
      </w:r>
    </w:p>
    <w:p w14:paraId="17F7C0C6" w14:textId="4F7D8B92" w:rsidR="007A7EF1" w:rsidRPr="0053292B" w:rsidRDefault="007A7EF1" w:rsidP="00B02EAA">
      <w:pPr>
        <w:pStyle w:val="References"/>
      </w:pPr>
      <w:r>
        <w:t xml:space="preserve">Marsh, W, Walker, R &amp; Debus, RL 1991, ‘Subject-specific components of academic self-concept and self-efficacy’, </w:t>
      </w:r>
      <w:r>
        <w:rPr>
          <w:i/>
        </w:rPr>
        <w:t>Contemporary Educational Psychology</w:t>
      </w:r>
      <w:r>
        <w:t>, vol.345, pp.331</w:t>
      </w:r>
      <w:r w:rsidR="008023E3">
        <w:t>−</w:t>
      </w:r>
      <w:r>
        <w:t>45.</w:t>
      </w:r>
    </w:p>
    <w:p w14:paraId="16AB22EE" w14:textId="654F8517" w:rsidR="007A7EF1" w:rsidRDefault="007A7EF1" w:rsidP="00B02EAA">
      <w:pPr>
        <w:pStyle w:val="References"/>
      </w:pPr>
      <w:proofErr w:type="spellStart"/>
      <w:r>
        <w:t>Pajares</w:t>
      </w:r>
      <w:proofErr w:type="spellEnd"/>
      <w:r>
        <w:t>, F &amp; Schunk, D 2001, ‘Self-beliefs and school success: self-efficacy, self-concept, and school achievement’, in RJ Riding &amp; SG Rayner (</w:t>
      </w:r>
      <w:r w:rsidR="00064D9D">
        <w:t>e</w:t>
      </w:r>
      <w:r>
        <w:t xml:space="preserve">ds), </w:t>
      </w:r>
      <w:r>
        <w:rPr>
          <w:i/>
        </w:rPr>
        <w:t>International perspectives of individual differences</w:t>
      </w:r>
      <w:r w:rsidR="00064D9D">
        <w:rPr>
          <w:i/>
        </w:rPr>
        <w:t>,</w:t>
      </w:r>
      <w:r w:rsidR="00064D9D">
        <w:t xml:space="preserve"> </w:t>
      </w:r>
      <w:proofErr w:type="spellStart"/>
      <w:r>
        <w:t>Ablex</w:t>
      </w:r>
      <w:proofErr w:type="spellEnd"/>
      <w:r>
        <w:t xml:space="preserve"> Publishing</w:t>
      </w:r>
      <w:r w:rsidR="00064D9D">
        <w:t>,</w:t>
      </w:r>
      <w:r w:rsidR="00064D9D" w:rsidRPr="00064D9D">
        <w:t xml:space="preserve"> </w:t>
      </w:r>
      <w:r w:rsidR="00064D9D">
        <w:t>Westport, CT</w:t>
      </w:r>
      <w:r w:rsidR="004C178F">
        <w:t xml:space="preserve">, </w:t>
      </w:r>
      <w:r w:rsidR="00064D9D">
        <w:t>pp.239</w:t>
      </w:r>
      <w:r w:rsidR="004C178F">
        <w:t>−</w:t>
      </w:r>
      <w:r w:rsidR="00064D9D">
        <w:t>66</w:t>
      </w:r>
      <w:r w:rsidR="004C178F">
        <w:t>.</w:t>
      </w:r>
    </w:p>
    <w:p w14:paraId="3B5F3741" w14:textId="1E3B3AA0" w:rsidR="005517AD" w:rsidRPr="005517AD" w:rsidRDefault="005517AD" w:rsidP="00D12EF8">
      <w:pPr>
        <w:pStyle w:val="Text"/>
        <w:spacing w:before="80" w:line="240" w:lineRule="auto"/>
        <w:ind w:left="284" w:hanging="284"/>
        <w:rPr>
          <w:iCs/>
          <w:sz w:val="18"/>
          <w:szCs w:val="18"/>
        </w:rPr>
      </w:pPr>
      <w:r w:rsidRPr="005517AD">
        <w:rPr>
          <w:iCs/>
          <w:sz w:val="18"/>
          <w:szCs w:val="18"/>
        </w:rPr>
        <w:t xml:space="preserve">Parker, PD, Marsh, HW, </w:t>
      </w:r>
      <w:proofErr w:type="spellStart"/>
      <w:r w:rsidRPr="005517AD">
        <w:rPr>
          <w:iCs/>
          <w:sz w:val="18"/>
          <w:szCs w:val="18"/>
        </w:rPr>
        <w:t>Ciarrochi</w:t>
      </w:r>
      <w:proofErr w:type="spellEnd"/>
      <w:r w:rsidRPr="005517AD">
        <w:rPr>
          <w:iCs/>
          <w:sz w:val="18"/>
          <w:szCs w:val="18"/>
        </w:rPr>
        <w:t xml:space="preserve">, J, Marshall, S &amp; </w:t>
      </w:r>
      <w:proofErr w:type="spellStart"/>
      <w:r w:rsidRPr="005517AD">
        <w:rPr>
          <w:iCs/>
          <w:sz w:val="18"/>
          <w:szCs w:val="18"/>
        </w:rPr>
        <w:t>Abduljabbar</w:t>
      </w:r>
      <w:proofErr w:type="spellEnd"/>
      <w:r w:rsidRPr="005517AD">
        <w:rPr>
          <w:iCs/>
          <w:sz w:val="18"/>
          <w:szCs w:val="18"/>
        </w:rPr>
        <w:t>, AS</w:t>
      </w:r>
      <w:r>
        <w:rPr>
          <w:iCs/>
          <w:sz w:val="18"/>
          <w:szCs w:val="18"/>
        </w:rPr>
        <w:t xml:space="preserve"> </w:t>
      </w:r>
      <w:r w:rsidRPr="005517AD">
        <w:rPr>
          <w:iCs/>
          <w:sz w:val="18"/>
          <w:szCs w:val="18"/>
        </w:rPr>
        <w:t>2014, ‘Juxtaposing math self-effi</w:t>
      </w:r>
      <w:r>
        <w:rPr>
          <w:iCs/>
          <w:sz w:val="18"/>
          <w:szCs w:val="18"/>
        </w:rPr>
        <w:t>c</w:t>
      </w:r>
      <w:r w:rsidRPr="005517AD">
        <w:rPr>
          <w:iCs/>
          <w:sz w:val="18"/>
          <w:szCs w:val="18"/>
        </w:rPr>
        <w:t xml:space="preserve">acy and self-concept as predictors of long-term achievement outcomes’, </w:t>
      </w:r>
      <w:r w:rsidRPr="005517AD">
        <w:rPr>
          <w:i/>
          <w:sz w:val="18"/>
          <w:szCs w:val="18"/>
        </w:rPr>
        <w:t>Educational Psychology</w:t>
      </w:r>
      <w:r w:rsidRPr="005517AD">
        <w:rPr>
          <w:iCs/>
          <w:sz w:val="18"/>
          <w:szCs w:val="18"/>
        </w:rPr>
        <w:t>, vol.34, pp.29</w:t>
      </w:r>
      <w:r>
        <w:rPr>
          <w:iCs/>
          <w:sz w:val="18"/>
          <w:szCs w:val="18"/>
        </w:rPr>
        <w:t>−</w:t>
      </w:r>
      <w:r w:rsidRPr="005517AD">
        <w:rPr>
          <w:iCs/>
          <w:sz w:val="18"/>
          <w:szCs w:val="18"/>
        </w:rPr>
        <w:t>48</w:t>
      </w:r>
      <w:r w:rsidR="00AD1158">
        <w:rPr>
          <w:iCs/>
          <w:sz w:val="18"/>
          <w:szCs w:val="18"/>
        </w:rPr>
        <w:t>.</w:t>
      </w:r>
    </w:p>
    <w:p w14:paraId="3E67C460" w14:textId="4C0C8265" w:rsidR="007A7EF1" w:rsidRPr="007B0421" w:rsidRDefault="007A7EF1" w:rsidP="00B02EAA">
      <w:pPr>
        <w:pStyle w:val="References"/>
      </w:pPr>
      <w:r>
        <w:t xml:space="preserve">Parker, PD, </w:t>
      </w:r>
      <w:proofErr w:type="spellStart"/>
      <w:r>
        <w:t>Schoon</w:t>
      </w:r>
      <w:proofErr w:type="spellEnd"/>
      <w:r>
        <w:t xml:space="preserve">, I, Tsai, Y, Nagy, G, </w:t>
      </w:r>
      <w:proofErr w:type="spellStart"/>
      <w:r>
        <w:t>Trautwein</w:t>
      </w:r>
      <w:proofErr w:type="spellEnd"/>
      <w:r>
        <w:t xml:space="preserve">, U &amp; Eccles, J 2012, ‘Achievement, agency, gender, and socioeconomic background as predictors of postschool choices: a multi-context study’, </w:t>
      </w:r>
      <w:r>
        <w:rPr>
          <w:i/>
        </w:rPr>
        <w:t>Developmental Psychology</w:t>
      </w:r>
      <w:r>
        <w:t>, vol.48, pp.1629</w:t>
      </w:r>
      <w:r w:rsidR="00543808">
        <w:t>−</w:t>
      </w:r>
      <w:r>
        <w:t>42.</w:t>
      </w:r>
    </w:p>
    <w:p w14:paraId="58353B1F" w14:textId="77777777" w:rsidR="00AD1158" w:rsidRPr="007B0421" w:rsidRDefault="00AD1158" w:rsidP="00AD1158">
      <w:pPr>
        <w:pStyle w:val="References"/>
      </w:pPr>
      <w:r>
        <w:t xml:space="preserve">Parker, PD, Van </w:t>
      </w:r>
      <w:proofErr w:type="spellStart"/>
      <w:r>
        <w:t>Zanden</w:t>
      </w:r>
      <w:proofErr w:type="spellEnd"/>
      <w:r>
        <w:t xml:space="preserve">, B &amp; Parker, R B 2018, ‘Girls get smart, boys get smug: historical changes in gender differences in math, literacy, and academic social comparison and achievement’, </w:t>
      </w:r>
      <w:r>
        <w:rPr>
          <w:i/>
        </w:rPr>
        <w:t>Learning and Instruction</w:t>
      </w:r>
      <w:r>
        <w:t>, vol.54, pp.125−37.</w:t>
      </w:r>
    </w:p>
    <w:p w14:paraId="55C8D229" w14:textId="0D70B877" w:rsidR="00842AE4" w:rsidRDefault="007A7EF1" w:rsidP="00B02EAA">
      <w:pPr>
        <w:pStyle w:val="References"/>
      </w:pPr>
      <w:r>
        <w:t xml:space="preserve">Valentine, JC, </w:t>
      </w:r>
      <w:proofErr w:type="spellStart"/>
      <w:r>
        <w:t>DeBois</w:t>
      </w:r>
      <w:proofErr w:type="spellEnd"/>
      <w:r>
        <w:t xml:space="preserve">, DL &amp; Cooper, H 2004, ‘The relation between self-beliefs and academic achievement: a meta-analytic review’, </w:t>
      </w:r>
      <w:r>
        <w:rPr>
          <w:i/>
        </w:rPr>
        <w:t>Educational Psychologist</w:t>
      </w:r>
      <w:r>
        <w:t>, vol.39, pp.34</w:t>
      </w:r>
      <w:r w:rsidR="00C3703B">
        <w:t>−</w:t>
      </w:r>
      <w:r>
        <w:t>41.</w:t>
      </w:r>
    </w:p>
    <w:p w14:paraId="38616E32" w14:textId="77777777" w:rsidR="00842AE4" w:rsidRDefault="00842AE4">
      <w:pPr>
        <w:spacing w:before="0" w:line="240" w:lineRule="auto"/>
        <w:rPr>
          <w:sz w:val="18"/>
        </w:rPr>
      </w:pPr>
      <w:r>
        <w:br w:type="page"/>
      </w:r>
    </w:p>
    <w:p w14:paraId="4A82B0C2" w14:textId="77777777" w:rsidR="00B02EAA" w:rsidRDefault="00B02EAA" w:rsidP="00E612BF">
      <w:pPr>
        <w:pStyle w:val="Heading1"/>
        <w:sectPr w:rsidR="00B02EAA" w:rsidSect="000F5784">
          <w:type w:val="continuous"/>
          <w:pgSz w:w="11907" w:h="16840" w:code="9"/>
          <w:pgMar w:top="1276" w:right="2552" w:bottom="992" w:left="1418" w:header="709" w:footer="556" w:gutter="0"/>
          <w:cols w:space="708"/>
          <w:docGrid w:linePitch="360"/>
        </w:sectPr>
      </w:pPr>
      <w:bookmarkStart w:id="203" w:name="_Toc456000800"/>
      <w:bookmarkStart w:id="204" w:name="_Toc457122465"/>
      <w:bookmarkStart w:id="205" w:name="_Toc188077643"/>
      <w:bookmarkStart w:id="206" w:name="_Toc275543018"/>
    </w:p>
    <w:p w14:paraId="7667228D" w14:textId="68A0F0EA" w:rsidR="009913C2" w:rsidRDefault="00ED5BC4" w:rsidP="00E612BF">
      <w:pPr>
        <w:pStyle w:val="Heading1"/>
      </w:pPr>
      <w:bookmarkStart w:id="207" w:name="_Toc19803958"/>
      <w:r>
        <w:lastRenderedPageBreak/>
        <w:t xml:space="preserve">Section </w:t>
      </w:r>
      <w:r w:rsidR="004D59CF">
        <w:t>5</w:t>
      </w:r>
      <w:r>
        <w:t xml:space="preserve">: Employment and </w:t>
      </w:r>
      <w:r w:rsidR="00B02EAA">
        <w:br/>
      </w:r>
      <w:r>
        <w:t>post-school outcomes</w:t>
      </w:r>
      <w:bookmarkEnd w:id="207"/>
    </w:p>
    <w:p w14:paraId="1165FD26" w14:textId="3FBA7226" w:rsidR="008D1903" w:rsidRPr="00B44E57" w:rsidRDefault="0011703D" w:rsidP="00BC0A87">
      <w:pPr>
        <w:pStyle w:val="Text"/>
      </w:pPr>
      <w:r w:rsidRPr="00B44E57">
        <w:t>Transitions for young people continue to change, and the duration of post</w:t>
      </w:r>
      <w:r w:rsidR="00C3703B" w:rsidRPr="00B44E57">
        <w:t>-</w:t>
      </w:r>
      <w:r w:rsidRPr="00B44E57">
        <w:t xml:space="preserve">school education and training has increased substantially over recent decades. </w:t>
      </w:r>
      <w:r w:rsidR="007C423C" w:rsidRPr="00B44E57">
        <w:t xml:space="preserve">LSAY </w:t>
      </w:r>
      <w:r w:rsidR="008D1903" w:rsidRPr="00B44E57">
        <w:t>provide</w:t>
      </w:r>
      <w:r w:rsidR="001575FC">
        <w:t>s</w:t>
      </w:r>
      <w:r w:rsidR="007C423C" w:rsidRPr="00B44E57">
        <w:t xml:space="preserve"> a rich source of information </w:t>
      </w:r>
      <w:r w:rsidR="00C3703B" w:rsidRPr="00B44E57">
        <w:t>on</w:t>
      </w:r>
      <w:r w:rsidR="007C423C" w:rsidRPr="00B44E57">
        <w:t xml:space="preserve"> </w:t>
      </w:r>
      <w:r w:rsidR="006A0515" w:rsidRPr="00B44E57">
        <w:t xml:space="preserve">patterns of </w:t>
      </w:r>
      <w:r w:rsidR="008D1903" w:rsidRPr="00B44E57">
        <w:t xml:space="preserve">post-school outcomes for participants, whether this is going on to further study, attempting to join the workforce, or taking a gap year. </w:t>
      </w:r>
    </w:p>
    <w:p w14:paraId="696818BF" w14:textId="2E8C4EC9" w:rsidR="008D1903" w:rsidRPr="00B44E57" w:rsidRDefault="00B0690F" w:rsidP="00BC0A87">
      <w:pPr>
        <w:pStyle w:val="Text"/>
      </w:pPr>
      <w:r w:rsidRPr="00B44E57">
        <w:t xml:space="preserve">Following </w:t>
      </w:r>
      <w:r w:rsidR="00912E84" w:rsidRPr="00B44E57">
        <w:t xml:space="preserve">a </w:t>
      </w:r>
      <w:r w:rsidRPr="00B44E57">
        <w:t xml:space="preserve">cohort over </w:t>
      </w:r>
      <w:r w:rsidR="00912E84" w:rsidRPr="00B44E57">
        <w:t xml:space="preserve">a decade allows </w:t>
      </w:r>
      <w:r w:rsidR="00F67CD8" w:rsidRPr="00B44E57">
        <w:t xml:space="preserve">us </w:t>
      </w:r>
      <w:r w:rsidR="00912E84" w:rsidRPr="00B44E57">
        <w:t>to track progress from secondary school through to employment.</w:t>
      </w:r>
      <w:r w:rsidR="00F67CD8" w:rsidRPr="00B44E57">
        <w:t xml:space="preserve"> Previous LSAY data ha</w:t>
      </w:r>
      <w:r w:rsidR="000E00FE" w:rsidRPr="00B44E57">
        <w:t>ve</w:t>
      </w:r>
      <w:r w:rsidR="00F67CD8" w:rsidRPr="00B44E57">
        <w:t xml:space="preserve"> s</w:t>
      </w:r>
      <w:r w:rsidRPr="00B44E57">
        <w:t>how</w:t>
      </w:r>
      <w:r w:rsidR="00F67CD8" w:rsidRPr="00B44E57">
        <w:t>n</w:t>
      </w:r>
      <w:r w:rsidRPr="00B44E57">
        <w:t xml:space="preserve"> that attaining higher levels of education</w:t>
      </w:r>
      <w:r w:rsidR="00F67CD8" w:rsidRPr="00B44E57">
        <w:t xml:space="preserve"> leads to</w:t>
      </w:r>
      <w:r w:rsidRPr="00B44E57">
        <w:t xml:space="preserve"> find</w:t>
      </w:r>
      <w:r w:rsidR="00F67CD8" w:rsidRPr="00B44E57">
        <w:t>ing</w:t>
      </w:r>
      <w:r w:rsidRPr="00B44E57">
        <w:t xml:space="preserve"> work at faster rates</w:t>
      </w:r>
      <w:r w:rsidR="00F67CD8" w:rsidRPr="00B44E57">
        <w:t>: young people who</w:t>
      </w:r>
      <w:r w:rsidRPr="00B44E57">
        <w:t xml:space="preserve"> complet</w:t>
      </w:r>
      <w:r w:rsidR="00F67CD8" w:rsidRPr="00B44E57">
        <w:t>e</w:t>
      </w:r>
      <w:r w:rsidRPr="00B44E57">
        <w:t xml:space="preserve"> Year 12 or a post-school qualification find employment </w:t>
      </w:r>
      <w:r w:rsidR="000E00FE" w:rsidRPr="00B44E57">
        <w:t>more quickly</w:t>
      </w:r>
      <w:r w:rsidRPr="00B44E57">
        <w:t xml:space="preserve"> than </w:t>
      </w:r>
      <w:r w:rsidR="00F67CD8" w:rsidRPr="00B44E57">
        <w:t xml:space="preserve">those who leave school early (Fitzpatrick et al. 2011). </w:t>
      </w:r>
      <w:r w:rsidR="0011703D" w:rsidRPr="00B44E57">
        <w:t>However, i</w:t>
      </w:r>
      <w:r w:rsidR="008D1903" w:rsidRPr="00B44E57">
        <w:t xml:space="preserve">t is crucially important that data </w:t>
      </w:r>
      <w:r w:rsidR="00C9249C" w:rsidRPr="00B44E57">
        <w:t>are</w:t>
      </w:r>
      <w:r w:rsidR="008D1903" w:rsidRPr="00B44E57">
        <w:t xml:space="preserve"> </w:t>
      </w:r>
      <w:r w:rsidR="0045475A" w:rsidRPr="00B44E57">
        <w:t xml:space="preserve">also </w:t>
      </w:r>
      <w:r w:rsidR="008D1903" w:rsidRPr="00B44E57">
        <w:t>collected about those who do not m</w:t>
      </w:r>
      <w:r w:rsidR="006A0515" w:rsidRPr="00B44E57">
        <w:t>a</w:t>
      </w:r>
      <w:r w:rsidR="008D1903" w:rsidRPr="00B44E57">
        <w:t xml:space="preserve">ke the transition as successfully </w:t>
      </w:r>
      <w:r w:rsidR="0045475A" w:rsidRPr="00B44E57">
        <w:t>and may find themselves disengaged.</w:t>
      </w:r>
    </w:p>
    <w:p w14:paraId="1FAA6BF4" w14:textId="0CCD3A27" w:rsidR="00555F58" w:rsidRPr="00B44E57" w:rsidRDefault="0071547E" w:rsidP="00BC0A87">
      <w:pPr>
        <w:pStyle w:val="Text"/>
      </w:pPr>
      <w:r w:rsidRPr="00B44E57">
        <w:t>Data from the surveys also show that</w:t>
      </w:r>
      <w:r w:rsidR="00703C91">
        <w:t xml:space="preserve"> there are differences by</w:t>
      </w:r>
      <w:r w:rsidRPr="00B44E57">
        <w:t xml:space="preserve"> gender. More highly educated women gain employment faster than women who are less educated, but this difference is not evident for men (Fitzpatrick et al. 2011). </w:t>
      </w:r>
    </w:p>
    <w:p w14:paraId="53003DAD" w14:textId="677C8C20" w:rsidR="00B03481" w:rsidRPr="00B44E57" w:rsidRDefault="009F0D93" w:rsidP="00BC0A87">
      <w:pPr>
        <w:pStyle w:val="Text"/>
      </w:pPr>
      <w:r w:rsidRPr="00B44E57">
        <w:t xml:space="preserve">The research </w:t>
      </w:r>
      <w:r w:rsidR="0002579F" w:rsidRPr="00B44E57">
        <w:t>included</w:t>
      </w:r>
      <w:r w:rsidRPr="00B44E57">
        <w:t xml:space="preserve"> in the fourth section of this book uses data from a range of cohorts and time periods, and</w:t>
      </w:r>
      <w:r w:rsidR="0002579F" w:rsidRPr="00B44E57">
        <w:t>,</w:t>
      </w:r>
      <w:r w:rsidRPr="00B44E57">
        <w:t xml:space="preserve"> despite </w:t>
      </w:r>
      <w:r w:rsidR="0002579F" w:rsidRPr="00B44E57">
        <w:t>examining</w:t>
      </w:r>
      <w:r w:rsidRPr="00B44E57">
        <w:t xml:space="preserve"> a diverse range of topics</w:t>
      </w:r>
      <w:r w:rsidR="00296E27" w:rsidRPr="00B44E57">
        <w:t>,</w:t>
      </w:r>
      <w:r w:rsidRPr="00B44E57">
        <w:t xml:space="preserve"> all focus on the post-education outcomes of young people. </w:t>
      </w:r>
      <w:r w:rsidR="00555F58" w:rsidRPr="00B44E57">
        <w:t xml:space="preserve">The first paper in this section looks at the occupational expectations of young people, using data from across the first two decades of LSAY. Sikora </w:t>
      </w:r>
      <w:r w:rsidR="0073380D" w:rsidRPr="00B44E57">
        <w:t>examines</w:t>
      </w:r>
      <w:r w:rsidR="00555F58" w:rsidRPr="00B44E57">
        <w:t xml:space="preserve"> </w:t>
      </w:r>
      <w:r w:rsidR="00B7371E" w:rsidRPr="00B44E57">
        <w:t>how the educational and occupational plans of young people affec</w:t>
      </w:r>
      <w:r w:rsidR="00A95A2C" w:rsidRPr="00B44E57">
        <w:t>t</w:t>
      </w:r>
      <w:r w:rsidR="00B7371E" w:rsidRPr="00B44E57">
        <w:t xml:space="preserve"> their later education and employment. </w:t>
      </w:r>
      <w:r w:rsidR="00881235" w:rsidRPr="00B44E57">
        <w:t>Stanwick, i</w:t>
      </w:r>
      <w:r w:rsidR="00B03481" w:rsidRPr="00B44E57">
        <w:t>n the paper</w:t>
      </w:r>
      <w:r w:rsidR="008A55F4" w:rsidRPr="00B44E57">
        <w:t xml:space="preserve"> that follows</w:t>
      </w:r>
      <w:r w:rsidR="00B03481" w:rsidRPr="00B44E57">
        <w:t xml:space="preserve">, discusses research </w:t>
      </w:r>
      <w:r w:rsidR="008A55F4" w:rsidRPr="00B44E57">
        <w:t>investigating</w:t>
      </w:r>
      <w:r w:rsidR="00B03481" w:rsidRPr="00B44E57">
        <w:t xml:space="preserve"> the increasing rates of taking a gap year, and how this </w:t>
      </w:r>
      <w:r w:rsidR="00267EB3" w:rsidRPr="00B44E57">
        <w:t>a</w:t>
      </w:r>
      <w:r w:rsidR="00B03481" w:rsidRPr="00B44E57">
        <w:t xml:space="preserve">ffects the likelihood of being in full-time employment at </w:t>
      </w:r>
      <w:r w:rsidR="00267EB3" w:rsidRPr="00B44E57">
        <w:t xml:space="preserve">the </w:t>
      </w:r>
      <w:r w:rsidR="00B03481" w:rsidRPr="00B44E57">
        <w:t xml:space="preserve">age </w:t>
      </w:r>
      <w:r w:rsidR="00267EB3" w:rsidRPr="00B44E57">
        <w:t xml:space="preserve">of </w:t>
      </w:r>
      <w:r w:rsidR="00B03481" w:rsidRPr="00B44E57">
        <w:t>24</w:t>
      </w:r>
      <w:r w:rsidR="00267EB3" w:rsidRPr="00B44E57">
        <w:t xml:space="preserve"> years</w:t>
      </w:r>
      <w:r w:rsidR="00B03481" w:rsidRPr="00B44E57">
        <w:t xml:space="preserve">. </w:t>
      </w:r>
      <w:r w:rsidR="00AD1158" w:rsidRPr="00B44E57">
        <w:t xml:space="preserve">In the next paper, </w:t>
      </w:r>
      <w:r w:rsidR="00A95A2C" w:rsidRPr="00B44E57">
        <w:t>Anlezark uses data from Y03 to investigate whether engaging in casual work while at secondary school is beneficial, using post</w:t>
      </w:r>
      <w:r w:rsidR="00267EB3" w:rsidRPr="00B44E57">
        <w:t>-</w:t>
      </w:r>
      <w:r w:rsidR="00A95A2C" w:rsidRPr="00B44E57">
        <w:t>school outcomes to g</w:t>
      </w:r>
      <w:r w:rsidR="00DA4A99" w:rsidRPr="00B44E57">
        <w:t>au</w:t>
      </w:r>
      <w:r w:rsidR="00A95A2C" w:rsidRPr="00B44E57">
        <w:t xml:space="preserve">ge whether it </w:t>
      </w:r>
      <w:r w:rsidR="00AD1158" w:rsidRPr="00B44E57">
        <w:t>helps</w:t>
      </w:r>
      <w:r w:rsidR="00A95A2C" w:rsidRPr="00B44E57">
        <w:t xml:space="preserve"> in terms of </w:t>
      </w:r>
      <w:r w:rsidR="00F263D9" w:rsidRPr="00B44E57">
        <w:t>gaining employment. Finally, Forrest looks at the consequences for young people who are not in education, employment, or training (NEET).</w:t>
      </w:r>
    </w:p>
    <w:p w14:paraId="6FCB7533" w14:textId="3018A07C" w:rsidR="009913C2" w:rsidRDefault="0011703D" w:rsidP="00B02EAA">
      <w:pPr>
        <w:pStyle w:val="Heading2"/>
        <w:spacing w:after="240"/>
      </w:pPr>
      <w:bookmarkStart w:id="208" w:name="_Toc15048946"/>
      <w:bookmarkStart w:id="209" w:name="_Toc19803959"/>
      <w:r>
        <w:t>Reference</w:t>
      </w:r>
      <w:bookmarkEnd w:id="208"/>
      <w:bookmarkEnd w:id="209"/>
    </w:p>
    <w:p w14:paraId="08093DBB" w14:textId="347D7FB6" w:rsidR="00F263D9" w:rsidRPr="00B02EAA" w:rsidRDefault="00F263D9" w:rsidP="00B02EAA">
      <w:pPr>
        <w:pStyle w:val="References"/>
        <w:spacing w:line="276" w:lineRule="auto"/>
        <w:rPr>
          <w:i/>
          <w:sz w:val="19"/>
          <w:szCs w:val="19"/>
        </w:rPr>
      </w:pPr>
      <w:r w:rsidRPr="00B02EAA">
        <w:rPr>
          <w:sz w:val="19"/>
          <w:szCs w:val="19"/>
        </w:rPr>
        <w:t xml:space="preserve">Fitzpatrick, D, Lester, L, </w:t>
      </w:r>
      <w:proofErr w:type="spellStart"/>
      <w:r w:rsidRPr="00B02EAA">
        <w:rPr>
          <w:sz w:val="19"/>
          <w:szCs w:val="19"/>
        </w:rPr>
        <w:t>Mavromaras</w:t>
      </w:r>
      <w:proofErr w:type="spellEnd"/>
      <w:r w:rsidRPr="00B02EAA">
        <w:rPr>
          <w:sz w:val="19"/>
          <w:szCs w:val="19"/>
        </w:rPr>
        <w:t>, K, Richardson, S &amp; Sun, Y 2011</w:t>
      </w:r>
      <w:r w:rsidR="000E00FE">
        <w:rPr>
          <w:sz w:val="19"/>
          <w:szCs w:val="19"/>
        </w:rPr>
        <w:t>,</w:t>
      </w:r>
      <w:r w:rsidRPr="00B02EAA">
        <w:rPr>
          <w:sz w:val="19"/>
          <w:szCs w:val="19"/>
        </w:rPr>
        <w:t xml:space="preserve"> </w:t>
      </w:r>
      <w:r w:rsidRPr="00C90374">
        <w:rPr>
          <w:i/>
          <w:sz w:val="19"/>
        </w:rPr>
        <w:t xml:space="preserve">From education to employment: </w:t>
      </w:r>
      <w:r w:rsidR="000E00FE" w:rsidRPr="000E00FE">
        <w:rPr>
          <w:i/>
          <w:iCs/>
          <w:sz w:val="19"/>
          <w:szCs w:val="19"/>
        </w:rPr>
        <w:t>h</w:t>
      </w:r>
      <w:r w:rsidRPr="000E00FE">
        <w:rPr>
          <w:i/>
          <w:iCs/>
          <w:sz w:val="19"/>
          <w:szCs w:val="19"/>
        </w:rPr>
        <w:t>ow</w:t>
      </w:r>
      <w:r w:rsidRPr="00C90374">
        <w:rPr>
          <w:i/>
          <w:sz w:val="19"/>
        </w:rPr>
        <w:t xml:space="preserve"> long does it take?</w:t>
      </w:r>
      <w:r w:rsidRPr="00B02EAA">
        <w:rPr>
          <w:i/>
          <w:sz w:val="19"/>
          <w:szCs w:val="19"/>
        </w:rPr>
        <w:t xml:space="preserve">, </w:t>
      </w:r>
      <w:r w:rsidRPr="00B02EAA">
        <w:rPr>
          <w:sz w:val="19"/>
          <w:szCs w:val="19"/>
        </w:rPr>
        <w:t>NCVER, Adelaide.</w:t>
      </w:r>
    </w:p>
    <w:p w14:paraId="6B5C1338" w14:textId="6E7E8D8D" w:rsidR="00ED5BC4" w:rsidRPr="00F263D9" w:rsidRDefault="00ED5BC4">
      <w:pPr>
        <w:spacing w:before="0" w:line="240" w:lineRule="auto"/>
        <w:rPr>
          <w:i/>
        </w:rPr>
      </w:pPr>
      <w:r w:rsidRPr="00F263D9">
        <w:rPr>
          <w:i/>
        </w:rPr>
        <w:br w:type="page"/>
      </w:r>
    </w:p>
    <w:p w14:paraId="16DEAA40" w14:textId="4FAE0233" w:rsidR="007C423C" w:rsidRDefault="007C423C" w:rsidP="00E612BF">
      <w:pPr>
        <w:pStyle w:val="Heading1"/>
      </w:pPr>
      <w:bookmarkStart w:id="210" w:name="_Toc19803960"/>
      <w:r>
        <w:lastRenderedPageBreak/>
        <w:t>Adolescent occupational expectations: two decades of LSAY-based research</w:t>
      </w:r>
      <w:bookmarkEnd w:id="210"/>
    </w:p>
    <w:p w14:paraId="77362214" w14:textId="7390BD0E" w:rsidR="007C423C" w:rsidRPr="00C90374" w:rsidRDefault="007C423C" w:rsidP="007C423C">
      <w:pPr>
        <w:pStyle w:val="Text"/>
        <w:rPr>
          <w:i/>
          <w:sz w:val="22"/>
          <w:szCs w:val="22"/>
        </w:rPr>
      </w:pPr>
      <w:r w:rsidRPr="00C90374">
        <w:rPr>
          <w:i/>
          <w:sz w:val="22"/>
          <w:szCs w:val="22"/>
        </w:rPr>
        <w:t>Joanna Sikora, Australian National University</w:t>
      </w:r>
    </w:p>
    <w:p w14:paraId="12B1C630" w14:textId="0DA49523" w:rsidR="00A30AF8" w:rsidRPr="00534749" w:rsidRDefault="00A30AF8" w:rsidP="00934156">
      <w:pPr>
        <w:pStyle w:val="Heading2"/>
      </w:pPr>
      <w:bookmarkStart w:id="211" w:name="_Toc15048948"/>
      <w:bookmarkStart w:id="212" w:name="_Toc19803961"/>
      <w:r w:rsidRPr="00534749">
        <w:t>Introduction</w:t>
      </w:r>
      <w:bookmarkEnd w:id="211"/>
      <w:bookmarkEnd w:id="212"/>
    </w:p>
    <w:p w14:paraId="72C64862" w14:textId="1058CBBE" w:rsidR="007C423C" w:rsidRDefault="007C423C" w:rsidP="007C423C">
      <w:pPr>
        <w:pStyle w:val="Text"/>
      </w:pPr>
      <w:r>
        <w:t>For decades, the Longitudinal Surveys of Australian Youth</w:t>
      </w:r>
      <w:r w:rsidR="00AD1158">
        <w:t xml:space="preserve"> (LSAY)</w:t>
      </w:r>
      <w:r>
        <w:t xml:space="preserve"> have been one of the best sources of information about </w:t>
      </w:r>
      <w:r w:rsidR="00FF1539">
        <w:t xml:space="preserve">the </w:t>
      </w:r>
      <w:r>
        <w:t>occupational expectations and attainments of young Australians. With comprehensive data collections going back to the 1990s, these surveys have provided high</w:t>
      </w:r>
      <w:r w:rsidR="00FF1539">
        <w:t>-</w:t>
      </w:r>
      <w:r>
        <w:t xml:space="preserve">quality information on the extent to which </w:t>
      </w:r>
      <w:r w:rsidR="00FF1539">
        <w:t xml:space="preserve">the </w:t>
      </w:r>
      <w:r>
        <w:t>educational and occupational plans of teenagers predict the</w:t>
      </w:r>
      <w:r w:rsidR="003B4D8A">
        <w:t xml:space="preserve">ir attainments </w:t>
      </w:r>
      <w:r>
        <w:t>later in life and how this varies by gender and socioeconomic background.</w:t>
      </w:r>
    </w:p>
    <w:p w14:paraId="3BD3BFD4" w14:textId="1CE01A7A" w:rsidR="007C423C" w:rsidRDefault="007C423C" w:rsidP="007C423C">
      <w:pPr>
        <w:pStyle w:val="Text"/>
      </w:pPr>
      <w:r>
        <w:t>This review presents the key insights from research on expectations that focused on the concepts of teenage ambition, lost talent</w:t>
      </w:r>
      <w:r w:rsidR="004F0E14">
        <w:t xml:space="preserve"> and</w:t>
      </w:r>
      <w:r>
        <w:t xml:space="preserve"> occupational uncertainty</w:t>
      </w:r>
      <w:r w:rsidR="004F0E14">
        <w:t xml:space="preserve">. Of </w:t>
      </w:r>
      <w:proofErr w:type="gramStart"/>
      <w:r w:rsidR="004F0E14">
        <w:t>particular interest</w:t>
      </w:r>
      <w:proofErr w:type="gramEnd"/>
      <w:r w:rsidR="004F0E14">
        <w:t xml:space="preserve"> are the </w:t>
      </w:r>
      <w:r>
        <w:t>consequences</w:t>
      </w:r>
      <w:r w:rsidR="004F0E14">
        <w:t xml:space="preserve"> of teenage career plans</w:t>
      </w:r>
      <w:r>
        <w:t xml:space="preserve"> and the gender divide in science-related occupational expectations. This last theme is related to recent efforts to enhance gender equity in Australian science through the Science in Australia Gender Equity program (SAGE) and similar in</w:t>
      </w:r>
      <w:r w:rsidR="00BE4507">
        <w:t>itiatives</w:t>
      </w:r>
      <w:r>
        <w:t>.</w:t>
      </w:r>
    </w:p>
    <w:p w14:paraId="4572F4F8" w14:textId="124255C0" w:rsidR="007C423C" w:rsidRDefault="00ED7B74" w:rsidP="007C423C">
      <w:pPr>
        <w:pStyle w:val="Heading2"/>
      </w:pPr>
      <w:bookmarkStart w:id="213" w:name="_Toc15048949"/>
      <w:bookmarkStart w:id="214" w:name="_Toc19803962"/>
      <w:r>
        <w:rPr>
          <w:noProof/>
        </w:rPr>
        <w:lastRenderedPageBreak/>
        <mc:AlternateContent>
          <mc:Choice Requires="wps">
            <w:drawing>
              <wp:anchor distT="0" distB="0" distL="114300" distR="114300" simplePos="0" relativeHeight="252012544" behindDoc="1" locked="0" layoutInCell="1" allowOverlap="1" wp14:anchorId="01E56B85" wp14:editId="22BB4141">
                <wp:simplePos x="0" y="0"/>
                <wp:positionH relativeFrom="margin">
                  <wp:posOffset>-5080</wp:posOffset>
                </wp:positionH>
                <wp:positionV relativeFrom="paragraph">
                  <wp:posOffset>570865</wp:posOffset>
                </wp:positionV>
                <wp:extent cx="4800600" cy="635"/>
                <wp:effectExtent l="0" t="0" r="0" b="0"/>
                <wp:wrapTight wrapText="bothSides">
                  <wp:wrapPolygon edited="0">
                    <wp:start x="0" y="0"/>
                    <wp:lineTo x="0" y="20409"/>
                    <wp:lineTo x="21514" y="20409"/>
                    <wp:lineTo x="21514" y="0"/>
                    <wp:lineTo x="0" y="0"/>
                  </wp:wrapPolygon>
                </wp:wrapTight>
                <wp:docPr id="40" name="Text Box 40"/>
                <wp:cNvGraphicFramePr/>
                <a:graphic xmlns:a="http://schemas.openxmlformats.org/drawingml/2006/main">
                  <a:graphicData uri="http://schemas.microsoft.com/office/word/2010/wordprocessingShape">
                    <wps:wsp>
                      <wps:cNvSpPr txBox="1"/>
                      <wps:spPr>
                        <a:xfrm>
                          <a:off x="0" y="0"/>
                          <a:ext cx="4800600" cy="635"/>
                        </a:xfrm>
                        <a:prstGeom prst="rect">
                          <a:avLst/>
                        </a:prstGeom>
                        <a:solidFill>
                          <a:prstClr val="white"/>
                        </a:solidFill>
                        <a:ln>
                          <a:noFill/>
                        </a:ln>
                      </wps:spPr>
                      <wps:txbx>
                        <w:txbxContent>
                          <w:p w14:paraId="34E7C6F8" w14:textId="51621E49" w:rsidR="00CE088E" w:rsidRPr="00DB7F76" w:rsidRDefault="00CE088E" w:rsidP="00751649">
                            <w:pPr>
                              <w:pStyle w:val="Figuretitle"/>
                            </w:pPr>
                            <w:bookmarkStart w:id="215" w:name="_Toc19001699"/>
                            <w:r w:rsidRPr="00751649">
                              <w:t xml:space="preserve">Figure </w:t>
                            </w:r>
                            <w:r>
                              <w:t>13</w:t>
                            </w:r>
                            <w:r>
                              <w:tab/>
                              <w:t xml:space="preserve"> </w:t>
                            </w:r>
                            <w:r w:rsidRPr="00751649">
                              <w:t xml:space="preserve">Occupational plans </w:t>
                            </w:r>
                            <w:r w:rsidRPr="00517B84">
                              <w:t>LSAY</w:t>
                            </w:r>
                            <w:r>
                              <w:t xml:space="preserve"> Y</w:t>
                            </w:r>
                            <w:r w:rsidRPr="00517B84">
                              <w:t>09</w:t>
                            </w:r>
                            <w:bookmarkEnd w:id="215"/>
                            <w:r w:rsidRPr="00751649">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E56B85" id="Text Box 40" o:spid="_x0000_s1036" type="#_x0000_t202" style="position:absolute;margin-left:-.4pt;margin-top:44.95pt;width:378pt;height:.05pt;z-index:-251303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T7LQIAAGYEAAAOAAAAZHJzL2Uyb0RvYy54bWysVMGO2jAQvVfqP1i+l8B2i1aIsKKsqCqh&#10;3ZWg2rNxHBLJ8bi2IaFf32eHsO22p6oXM54ZP+e952F+3zWanZTzNZmcT0ZjzpSRVNTmkPNvu/WH&#10;O858EKYQmozK+Vl5fr94/27e2pm6oYp0oRwDiPGz1ua8CsHOsszLSjXCj8gqg2JJrhEBW3fICida&#10;oDc6uxmPp1lLrrCOpPIe2Ye+yBcJvyyVDE9l6VVgOuf4tpBWl9Z9XLPFXMwOTtiqlpfPEP/wFY2o&#10;DS69Qj2IINjR1X9ANbV05KkMI0lNRmVZS5U4gM1k/IbNthJWJS4Qx9urTP7/wcrH07NjdZHzW8hj&#10;RAOPdqoL7DN1DCno01o/Q9vWojF0yMPnIe+RjLS70jXxF4QY6oA6X9WNaBLJ2zv4NUZJojb9+Cli&#10;ZK9HrfPhi6KGxSDnDtYlRcVp40PfOrTEmzzpuljXWsdNLKy0YycBm9uqDuoC/luXNrHXUDzVA8ZM&#10;Fvn1PGIUun2X9JgOHPdUnEHdUf94vJXrGvdthA/PwuG1gBImIDxhKTW1OadLxFlF7sff8rEfJqLK&#10;WYvXl3P//Sic4kx/NbAXkGEI3BDsh8AcmxWB6QSzZWUKccAFPYSlo+YFg7GMt6AkjMRdOQ9DuAr9&#10;DGCwpFouUxMepBVhY7ZWRuhB1133Ipy9uBJg5iMN71LM3pjT9yZ77PIYoHRyLuraq3iRG485eX8Z&#10;vDgtv+5T1+vfw+InAAAA//8DAFBLAwQUAAYACAAAACEAKOEqV98AAAAHAQAADwAAAGRycy9kb3du&#10;cmV2LnhtbEzOMU/DMBAF4B2J/2AdEguiNqUtTcilqioY6FIRurC58TUOxHZkO23497gTjKd3eu8r&#10;VqPp2Il8aJ1FeJgIYGRrp1rbIOw/Xu+XwEKUVsnOWUL4oQCr8vqqkLlyZ/tOpyo2LJXYkEsEHWOf&#10;cx5qTUaGievJpuzovJExnb7hystzKjcdnwqx4Ea2Ni1o2dNGU/1dDQZhN/vc6bvh+LJdzx79237Y&#10;LL6aCvH2Zlw/A4s0xr9nuPATHcpkOrjBqsA6hAs8IiyzDFiKn+bzKbADQiYE8LLg//3lLwAAAP//&#10;AwBQSwECLQAUAAYACAAAACEAtoM4kv4AAADhAQAAEwAAAAAAAAAAAAAAAAAAAAAAW0NvbnRlbnRf&#10;VHlwZXNdLnhtbFBLAQItABQABgAIAAAAIQA4/SH/1gAAAJQBAAALAAAAAAAAAAAAAAAAAC8BAABf&#10;cmVscy8ucmVsc1BLAQItABQABgAIAAAAIQDuKrT7LQIAAGYEAAAOAAAAAAAAAAAAAAAAAC4CAABk&#10;cnMvZTJvRG9jLnhtbFBLAQItABQABgAIAAAAIQAo4SpX3wAAAAcBAAAPAAAAAAAAAAAAAAAAAIcE&#10;AABkcnMvZG93bnJldi54bWxQSwUGAAAAAAQABADzAAAAkwUAAAAA&#10;" stroked="f">
                <v:textbox style="mso-fit-shape-to-text:t" inset="0,0,0,0">
                  <w:txbxContent>
                    <w:p w14:paraId="34E7C6F8" w14:textId="51621E49" w:rsidR="00CE088E" w:rsidRPr="00DB7F76" w:rsidRDefault="00CE088E" w:rsidP="00751649">
                      <w:pPr>
                        <w:pStyle w:val="Figuretitle"/>
                      </w:pPr>
                      <w:bookmarkStart w:id="216" w:name="_Toc19001699"/>
                      <w:r w:rsidRPr="00751649">
                        <w:t xml:space="preserve">Figure </w:t>
                      </w:r>
                      <w:r>
                        <w:t>13</w:t>
                      </w:r>
                      <w:r>
                        <w:tab/>
                        <w:t xml:space="preserve"> </w:t>
                      </w:r>
                      <w:r w:rsidRPr="00751649">
                        <w:t xml:space="preserve">Occupational plans </w:t>
                      </w:r>
                      <w:r w:rsidRPr="00517B84">
                        <w:t>LSAY</w:t>
                      </w:r>
                      <w:r>
                        <w:t xml:space="preserve"> Y</w:t>
                      </w:r>
                      <w:r w:rsidRPr="00517B84">
                        <w:t>09</w:t>
                      </w:r>
                      <w:bookmarkEnd w:id="216"/>
                      <w:r w:rsidRPr="00751649">
                        <w:t xml:space="preserve"> </w:t>
                      </w:r>
                    </w:p>
                  </w:txbxContent>
                </v:textbox>
                <w10:wrap type="tight" anchorx="margin"/>
              </v:shape>
            </w:pict>
          </mc:Fallback>
        </mc:AlternateContent>
      </w:r>
      <w:r w:rsidR="007C423C">
        <w:t>Teenage ambition: most youth hope to enter the professions – is this unrealistic?</w:t>
      </w:r>
      <w:bookmarkEnd w:id="213"/>
      <w:bookmarkEnd w:id="214"/>
    </w:p>
    <w:p w14:paraId="662C9679" w14:textId="714F3929" w:rsidR="007C423C" w:rsidRDefault="007C423C" w:rsidP="002A3F1C">
      <w:pPr>
        <w:pStyle w:val="Text"/>
      </w:pPr>
      <w:r>
        <w:rPr>
          <w:b/>
          <w:noProof/>
        </w:rPr>
        <w:drawing>
          <wp:anchor distT="0" distB="0" distL="114300" distR="114300" simplePos="0" relativeHeight="252011520" behindDoc="1" locked="0" layoutInCell="1" allowOverlap="1" wp14:anchorId="1F60128E" wp14:editId="0B7CBDAF">
            <wp:simplePos x="0" y="0"/>
            <wp:positionH relativeFrom="margin">
              <wp:posOffset>-291465</wp:posOffset>
            </wp:positionH>
            <wp:positionV relativeFrom="paragraph">
              <wp:posOffset>678815</wp:posOffset>
            </wp:positionV>
            <wp:extent cx="2472690" cy="4362450"/>
            <wp:effectExtent l="0" t="0" r="3810" b="0"/>
            <wp:wrapTight wrapText="bothSides">
              <wp:wrapPolygon edited="0">
                <wp:start x="0" y="0"/>
                <wp:lineTo x="0" y="21506"/>
                <wp:lineTo x="21467" y="21506"/>
                <wp:lineTo x="2146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8439"/>
                    <a:stretch/>
                  </pic:blipFill>
                  <pic:spPr bwMode="auto">
                    <a:xfrm>
                      <a:off x="0" y="0"/>
                      <a:ext cx="2472690" cy="436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The LSAY data </w:t>
      </w:r>
      <w:r w:rsidR="00555775">
        <w:t>on</w:t>
      </w:r>
      <w:r>
        <w:t xml:space="preserve"> different cohorts of Australian teenagers who were 1</w:t>
      </w:r>
      <w:r w:rsidR="00EF4931">
        <w:t>5</w:t>
      </w:r>
      <w:r>
        <w:t xml:space="preserve"> years of age sometime between 1999 and 2015 consistently show that youth have very ambitious occupational expectations</w:t>
      </w:r>
      <w:r w:rsidR="00555775">
        <w:t>,</w:t>
      </w:r>
      <w:r>
        <w:t xml:space="preserve"> with most of them expecting a career in professional occupations</w:t>
      </w:r>
      <w:r w:rsidR="00A2670B">
        <w:t>,</w:t>
      </w:r>
      <w:r>
        <w:t xml:space="preserve"> which require a university degree at entry. This is illustrated in </w:t>
      </w:r>
      <w:r w:rsidR="00A2670B">
        <w:t>f</w:t>
      </w:r>
      <w:r>
        <w:t>igure 1</w:t>
      </w:r>
      <w:r w:rsidR="00DB7F76">
        <w:t>3</w:t>
      </w:r>
      <w:r w:rsidR="00A2670B">
        <w:t>,</w:t>
      </w:r>
      <w:r>
        <w:t xml:space="preserve"> which shows the breakdown of occupational plans among 1</w:t>
      </w:r>
      <w:r w:rsidR="00EF4931">
        <w:t>5</w:t>
      </w:r>
      <w:r>
        <w:t xml:space="preserve">-year-olds in the first wave of LSAY </w:t>
      </w:r>
      <w:r w:rsidR="00E45C7D">
        <w:t>Y</w:t>
      </w:r>
      <w:r>
        <w:t>09 (Sikora &amp; Biddle 2015). The categories are one-digit groups of the Australian and New Zealand Standard Classification of Occupations (ANZSCO). In 2009, 56% of 1</w:t>
      </w:r>
      <w:r w:rsidR="00EF4931">
        <w:t>5</w:t>
      </w:r>
      <w:r>
        <w:t>-year-old boys and 66% of girls in the same age group planned to become professionals, w</w:t>
      </w:r>
      <w:r w:rsidR="00EF4931">
        <w:t>hile</w:t>
      </w:r>
      <w:r>
        <w:t xml:space="preserve"> the proportions of professionals in the adult population </w:t>
      </w:r>
      <w:r w:rsidR="00EF4931">
        <w:t xml:space="preserve">were </w:t>
      </w:r>
      <w:r>
        <w:t xml:space="preserve">significantly lower than these figures (Sikora &amp; Biddle 2015). Such a discrepancy </w:t>
      </w:r>
      <w:r w:rsidR="00D3409F">
        <w:t>raises</w:t>
      </w:r>
      <w:r>
        <w:t xml:space="preserve"> concerns that many adolescents have unrealistic </w:t>
      </w:r>
      <w:proofErr w:type="gramStart"/>
      <w:r w:rsidR="007E7A23">
        <w:t xml:space="preserve">future </w:t>
      </w:r>
      <w:r>
        <w:t>plans</w:t>
      </w:r>
      <w:proofErr w:type="gramEnd"/>
      <w:r w:rsidR="007E7A23">
        <w:t>,</w:t>
      </w:r>
      <w:r>
        <w:t xml:space="preserve"> which will generate discontent and high levels of stress. The positive interpretation of this phenomenon, however, points out that occupational ambition </w:t>
      </w:r>
      <w:r w:rsidR="00D3409F">
        <w:t>in</w:t>
      </w:r>
      <w:r>
        <w:t xml:space="preserve"> young people encourages them to aim for university education, which in the long run is more likely to lead to </w:t>
      </w:r>
      <w:r w:rsidR="00EF4931">
        <w:t>desirable rather</w:t>
      </w:r>
      <w:r>
        <w:t xml:space="preserve"> than negative outcomes, even if not all young people realise their most ambitious expectations. Notwithstanding that, occupational optimism, </w:t>
      </w:r>
      <w:r w:rsidR="0049602B">
        <w:t>that is,</w:t>
      </w:r>
      <w:r>
        <w:t xml:space="preserve"> the expectation to enter the highly skilled professional jobs, might be more prevalent among adolescents from advantageous socioeconomic backgrounds. An important question is whether students from less affluent backgrounds are likely to adjust their initially ambitious expectations down even if, at school, they are above-average achievers.</w:t>
      </w:r>
    </w:p>
    <w:p w14:paraId="57958BA1" w14:textId="77777777" w:rsidR="007C423C" w:rsidRDefault="007C423C" w:rsidP="007C423C">
      <w:pPr>
        <w:pStyle w:val="Heading2"/>
      </w:pPr>
      <w:bookmarkStart w:id="217" w:name="_Toc15048950"/>
      <w:bookmarkStart w:id="218" w:name="_Toc19803963"/>
      <w:r>
        <w:t>What is talent loss in the context of educational and occupational expectations? Does Australia lose much teenage talent?</w:t>
      </w:r>
      <w:bookmarkEnd w:id="217"/>
      <w:bookmarkEnd w:id="218"/>
    </w:p>
    <w:p w14:paraId="1F1A7A01" w14:textId="246FCA80" w:rsidR="007C423C" w:rsidRDefault="007C423C" w:rsidP="002A3F1C">
      <w:pPr>
        <w:pStyle w:val="Text"/>
      </w:pPr>
      <w:r>
        <w:t xml:space="preserve">Researchers investigating occupational optimism have long been interested in students’ socioeconomic status </w:t>
      </w:r>
      <w:r w:rsidR="00BF1BDD">
        <w:t xml:space="preserve">(SES) </w:t>
      </w:r>
      <w:r>
        <w:t xml:space="preserve">as a potential determinant of adolescent ambitions (Sikora &amp; </w:t>
      </w:r>
      <w:proofErr w:type="spellStart"/>
      <w:r>
        <w:t>Saha</w:t>
      </w:r>
      <w:proofErr w:type="spellEnd"/>
      <w:r>
        <w:t xml:space="preserve"> 2011). In this context, different definitions of talent loss have been proposed, but all of them hinge on measuring student expectations at different life stages and then determining whether the</w:t>
      </w:r>
      <w:r w:rsidR="00AD1158">
        <w:t>se</w:t>
      </w:r>
      <w:r>
        <w:t xml:space="preserve"> become less ambitious as students mature and gain more awareness of the potential </w:t>
      </w:r>
      <w:r w:rsidR="00EF4931">
        <w:t>social-</w:t>
      </w:r>
      <w:r>
        <w:t>structural barriers to</w:t>
      </w:r>
      <w:r w:rsidR="00EF4931">
        <w:t xml:space="preserve"> their</w:t>
      </w:r>
      <w:r>
        <w:t xml:space="preserve"> attainment (Sikora &amp; </w:t>
      </w:r>
      <w:proofErr w:type="spellStart"/>
      <w:r>
        <w:t>Saha</w:t>
      </w:r>
      <w:proofErr w:type="spellEnd"/>
      <w:r>
        <w:t xml:space="preserve"> 2011).</w:t>
      </w:r>
    </w:p>
    <w:p w14:paraId="55C73C06" w14:textId="46CE96EA" w:rsidR="007C423C" w:rsidRDefault="007C423C" w:rsidP="002A3F1C">
      <w:pPr>
        <w:pStyle w:val="Text"/>
      </w:pPr>
      <w:r>
        <w:lastRenderedPageBreak/>
        <w:t xml:space="preserve">For instance, </w:t>
      </w:r>
      <w:r w:rsidR="00AD1158">
        <w:t xml:space="preserve">LSAY </w:t>
      </w:r>
      <w:r w:rsidR="00E16F8C" w:rsidRPr="00E16F8C">
        <w:t>Y</w:t>
      </w:r>
      <w:r w:rsidRPr="00E16F8C">
        <w:t>98</w:t>
      </w:r>
      <w:r>
        <w:t xml:space="preserve"> secondary students were asked about their occupational expectations in 1999 and 2001, </w:t>
      </w:r>
      <w:r w:rsidR="005D79FA">
        <w:t>that is,</w:t>
      </w:r>
      <w:r>
        <w:t xml:space="preserve"> in Years 10 and 12. Figure </w:t>
      </w:r>
      <w:r w:rsidR="00DB7F76">
        <w:t xml:space="preserve">14 </w:t>
      </w:r>
      <w:r>
        <w:t>presents the proportions of students who lowered or failed to realise their educational or occupational expectations. Four understandings of talent loss are considered in turn. First, ‘lowered educational expectations’, are taken to be equivalent to the changes in students’ initial expectations to attend university. A student is assumed to have experienced talent loss if initially, that is, in 1999, they reported an intention to go to university, but at some point between 1999 and 2001 they made a permanent switch to obtaining a non-university qualification. According to this definition, 15% of students whose academic performance placed them in the top 50% lowered their educational expectations in upper secondary school (</w:t>
      </w:r>
      <w:r w:rsidR="006417B2">
        <w:t>f</w:t>
      </w:r>
      <w:r>
        <w:t xml:space="preserve">igure </w:t>
      </w:r>
      <w:r w:rsidR="00DB7F76">
        <w:t>14</w:t>
      </w:r>
      <w:r>
        <w:t>).</w:t>
      </w:r>
    </w:p>
    <w:p w14:paraId="160B2FA2" w14:textId="5FFD3A05" w:rsidR="00D522F6" w:rsidRDefault="00FD19A3" w:rsidP="00FB751C">
      <w:pPr>
        <w:pStyle w:val="Figuretitle"/>
        <w:rPr>
          <w:lang w:val="en-US"/>
        </w:rPr>
      </w:pPr>
      <w:bookmarkStart w:id="219" w:name="_Toc15047870"/>
      <w:bookmarkStart w:id="220" w:name="_Toc19001701"/>
      <w:r>
        <w:rPr>
          <w:noProof/>
          <w:lang w:val="en-US"/>
        </w:rPr>
        <w:drawing>
          <wp:anchor distT="0" distB="0" distL="114300" distR="114300" simplePos="0" relativeHeight="252017664" behindDoc="0" locked="0" layoutInCell="1" allowOverlap="1" wp14:anchorId="5C937B15" wp14:editId="4038E651">
            <wp:simplePos x="0" y="0"/>
            <wp:positionH relativeFrom="page">
              <wp:align>center</wp:align>
            </wp:positionH>
            <wp:positionV relativeFrom="paragraph">
              <wp:posOffset>442068</wp:posOffset>
            </wp:positionV>
            <wp:extent cx="5038725" cy="2962275"/>
            <wp:effectExtent l="0" t="0" r="9525" b="9525"/>
            <wp:wrapNone/>
            <wp:docPr id="38" name="Picture 38" descr="C:\Users\charlottescobie\Desktop\sikora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ottescobie\Desktop\sikora pic.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8725" cy="29622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19"/>
      <w:bookmarkEnd w:id="220"/>
      <w:r w:rsidR="007C423C">
        <w:t xml:space="preserve"> </w:t>
      </w:r>
      <w:bookmarkStart w:id="221" w:name="_Toc19001700"/>
      <w:r w:rsidR="00D522F6">
        <w:t xml:space="preserve">Figure </w:t>
      </w:r>
      <w:r w:rsidR="00DB7F76">
        <w:t>14</w:t>
      </w:r>
      <w:r w:rsidR="002302E9">
        <w:tab/>
        <w:t xml:space="preserve"> </w:t>
      </w:r>
      <w:r w:rsidR="00D522F6">
        <w:t xml:space="preserve">Prevalence of talent loss in </w:t>
      </w:r>
      <w:r w:rsidR="00D522F6" w:rsidRPr="00DC34C4">
        <w:t>LSAY</w:t>
      </w:r>
      <w:r w:rsidR="00DC34C4" w:rsidRPr="00DC34C4">
        <w:t xml:space="preserve"> Y</w:t>
      </w:r>
      <w:r w:rsidR="00D522F6" w:rsidRPr="00DC34C4">
        <w:t>98</w:t>
      </w:r>
      <w:bookmarkEnd w:id="221"/>
    </w:p>
    <w:p w14:paraId="57568CD8" w14:textId="3874480F" w:rsidR="007C423C" w:rsidRDefault="007C423C" w:rsidP="007C423C">
      <w:pPr>
        <w:pStyle w:val="Figuretitle"/>
        <w:keepNext/>
      </w:pPr>
    </w:p>
    <w:p w14:paraId="080DFD5F" w14:textId="2CB92FEE" w:rsidR="002A3F1C" w:rsidRDefault="002A3F1C" w:rsidP="002A3F1C">
      <w:pPr>
        <w:rPr>
          <w:rFonts w:ascii="Arial Narrow" w:eastAsiaTheme="minorHAnsi" w:hAnsi="Arial Narrow" w:cstheme="minorBidi"/>
          <w:b/>
          <w:iCs/>
          <w:sz w:val="22"/>
          <w:szCs w:val="22"/>
          <w:lang w:val="en-US"/>
        </w:rPr>
      </w:pPr>
    </w:p>
    <w:p w14:paraId="32723322" w14:textId="100731C6" w:rsidR="00D522F6" w:rsidRDefault="00D522F6" w:rsidP="002A3F1C">
      <w:pPr>
        <w:rPr>
          <w:lang w:val="en-US"/>
        </w:rPr>
      </w:pPr>
    </w:p>
    <w:p w14:paraId="14A2A213" w14:textId="27ED37BD" w:rsidR="00D522F6" w:rsidRDefault="00D522F6" w:rsidP="002A3F1C">
      <w:pPr>
        <w:rPr>
          <w:lang w:val="en-US"/>
        </w:rPr>
      </w:pPr>
    </w:p>
    <w:p w14:paraId="45748451" w14:textId="1FDE9793" w:rsidR="00D522F6" w:rsidRDefault="00D522F6" w:rsidP="002A3F1C">
      <w:pPr>
        <w:rPr>
          <w:lang w:val="en-US"/>
        </w:rPr>
      </w:pPr>
    </w:p>
    <w:p w14:paraId="08DA1F67" w14:textId="5B2F9BC2" w:rsidR="00D522F6" w:rsidRDefault="00D522F6" w:rsidP="002A3F1C">
      <w:pPr>
        <w:rPr>
          <w:lang w:val="en-US"/>
        </w:rPr>
      </w:pPr>
    </w:p>
    <w:p w14:paraId="4878129B" w14:textId="75AA0348" w:rsidR="00D522F6" w:rsidRDefault="00D522F6" w:rsidP="002A3F1C">
      <w:pPr>
        <w:rPr>
          <w:lang w:val="en-US"/>
        </w:rPr>
      </w:pPr>
    </w:p>
    <w:p w14:paraId="0345F732" w14:textId="577714C6" w:rsidR="00D522F6" w:rsidRDefault="00D522F6" w:rsidP="002A3F1C">
      <w:pPr>
        <w:rPr>
          <w:lang w:val="en-US"/>
        </w:rPr>
      </w:pPr>
    </w:p>
    <w:p w14:paraId="1BB2DBDA" w14:textId="6369A92E" w:rsidR="00D522F6" w:rsidRDefault="00D522F6" w:rsidP="002A3F1C">
      <w:pPr>
        <w:rPr>
          <w:lang w:val="en-US"/>
        </w:rPr>
      </w:pPr>
    </w:p>
    <w:p w14:paraId="083BE6CC" w14:textId="708F1E5C" w:rsidR="00D522F6" w:rsidRDefault="00D522F6" w:rsidP="002A3F1C">
      <w:pPr>
        <w:rPr>
          <w:lang w:val="en-US"/>
        </w:rPr>
      </w:pPr>
    </w:p>
    <w:p w14:paraId="2FFA72A6" w14:textId="360D135C" w:rsidR="00D522F6" w:rsidRDefault="00D522F6" w:rsidP="002A3F1C">
      <w:pPr>
        <w:rPr>
          <w:lang w:val="en-US"/>
        </w:rPr>
      </w:pPr>
    </w:p>
    <w:p w14:paraId="1BE9BA99" w14:textId="06A28EA2" w:rsidR="007C423C" w:rsidRDefault="007C423C" w:rsidP="00F7441D">
      <w:pPr>
        <w:pStyle w:val="Text"/>
      </w:pPr>
      <w:r>
        <w:t xml:space="preserve">The second definition of talent </w:t>
      </w:r>
      <w:r w:rsidR="00EF4931">
        <w:t>loss</w:t>
      </w:r>
      <w:r>
        <w:t xml:space="preserve"> depicts changing occupational expectations from highly skilled professional destinations to careers that require more on-the-job and less formal training. Students who initially planned to work in professional or managerial occupations and later reported other occupations as their expected careers are considered to have made a downward adjustment in terms of occupational status. Among </w:t>
      </w:r>
      <w:r w:rsidR="006417B2">
        <w:t xml:space="preserve">the </w:t>
      </w:r>
      <w:r>
        <w:t>top 50% achievers, there were 15% of such students. Finally, over one</w:t>
      </w:r>
      <w:r w:rsidR="006417B2">
        <w:t>-</w:t>
      </w:r>
      <w:r>
        <w:t xml:space="preserve">quarter of </w:t>
      </w:r>
      <w:r w:rsidRPr="00DC34C4">
        <w:t>Y98</w:t>
      </w:r>
      <w:r>
        <w:t xml:space="preserve"> participants failed to achieve their teenage goals by the time they </w:t>
      </w:r>
      <w:r w:rsidR="0026465E">
        <w:t xml:space="preserve">had </w:t>
      </w:r>
      <w:r>
        <w:t xml:space="preserve">turned 25, which can be also seen as talent loss, at least for </w:t>
      </w:r>
      <w:r w:rsidR="00EF4931">
        <w:t>strong academic</w:t>
      </w:r>
      <w:r>
        <w:t xml:space="preserve"> performers. These are the remaining two types of talent loss. However, it must be borne in mind that for some of these young people the reali</w:t>
      </w:r>
      <w:r w:rsidR="0026465E">
        <w:t>s</w:t>
      </w:r>
      <w:r>
        <w:t>ation of their early ambitions might have occurred after their 25</w:t>
      </w:r>
      <w:r w:rsidRPr="00C90374">
        <w:rPr>
          <w:vertAlign w:val="superscript"/>
        </w:rPr>
        <w:t>th</w:t>
      </w:r>
      <w:r>
        <w:t xml:space="preserve"> birthday, so these are not conservative estimates.</w:t>
      </w:r>
      <w:r w:rsidR="00D522F6" w:rsidRPr="00D522F6">
        <w:t xml:space="preserve"> </w:t>
      </w:r>
    </w:p>
    <w:p w14:paraId="70A851ED" w14:textId="6F3CB6ED" w:rsidR="007C423C" w:rsidRDefault="007C423C" w:rsidP="00F7441D">
      <w:pPr>
        <w:pStyle w:val="Text"/>
      </w:pPr>
      <w:r>
        <w:t xml:space="preserve">Overall, the </w:t>
      </w:r>
      <w:r w:rsidR="00EF4931">
        <w:t>occurrence</w:t>
      </w:r>
      <w:r>
        <w:t xml:space="preserve"> of talent loss</w:t>
      </w:r>
      <w:r w:rsidR="00EF4931">
        <w:t xml:space="preserve"> </w:t>
      </w:r>
      <w:r>
        <w:t>has been no more than moderate among young Australians, which is reassuring, given the need for well</w:t>
      </w:r>
      <w:r w:rsidR="001B4EB6">
        <w:t>-</w:t>
      </w:r>
      <w:r>
        <w:t xml:space="preserve">educated workers in the Australian economy. However, one concerning aspect of the pattern in </w:t>
      </w:r>
      <w:r w:rsidR="003E76AA">
        <w:t>f</w:t>
      </w:r>
      <w:r>
        <w:t xml:space="preserve">igure </w:t>
      </w:r>
      <w:r w:rsidR="0045475A">
        <w:t>14</w:t>
      </w:r>
      <w:r w:rsidR="00EF4931">
        <w:t xml:space="preserve"> </w:t>
      </w:r>
      <w:r>
        <w:t>is the fact that students from lower</w:t>
      </w:r>
      <w:r w:rsidR="009D2A51">
        <w:t xml:space="preserve"> </w:t>
      </w:r>
      <w:r w:rsidR="003E76AA">
        <w:t>SES</w:t>
      </w:r>
      <w:r>
        <w:t xml:space="preserve"> backgrounds had a significantly stronger propensity for downward adjustments of their initially ambitious educational and occupational expectations, all else being equal. Thus, Australian teenagers who come from </w:t>
      </w:r>
      <w:r w:rsidR="00EF4931">
        <w:t>disadvantaged socioeconomic</w:t>
      </w:r>
      <w:r>
        <w:t xml:space="preserve"> backgrounds are more likely to experience some form of talent loss.</w:t>
      </w:r>
    </w:p>
    <w:p w14:paraId="045BE2D8" w14:textId="1B255C7E" w:rsidR="007C423C" w:rsidRDefault="00392114" w:rsidP="007C423C">
      <w:pPr>
        <w:pStyle w:val="Heading2"/>
      </w:pPr>
      <w:bookmarkStart w:id="222" w:name="_Toc15048951"/>
      <w:bookmarkStart w:id="223" w:name="_Toc19803964"/>
      <w:r>
        <w:rPr>
          <w:noProof/>
        </w:rPr>
        <w:lastRenderedPageBreak/>
        <mc:AlternateContent>
          <mc:Choice Requires="wps">
            <w:drawing>
              <wp:anchor distT="0" distB="0" distL="114300" distR="114300" simplePos="0" relativeHeight="252014592" behindDoc="1" locked="0" layoutInCell="1" allowOverlap="1" wp14:anchorId="7AFFE84E" wp14:editId="0100F18C">
                <wp:simplePos x="0" y="0"/>
                <wp:positionH relativeFrom="margin">
                  <wp:align>left</wp:align>
                </wp:positionH>
                <wp:positionV relativeFrom="paragraph">
                  <wp:posOffset>636213</wp:posOffset>
                </wp:positionV>
                <wp:extent cx="4776470" cy="340995"/>
                <wp:effectExtent l="0" t="0" r="5080" b="1905"/>
                <wp:wrapTight wrapText="bothSides">
                  <wp:wrapPolygon edited="0">
                    <wp:start x="0" y="0"/>
                    <wp:lineTo x="0" y="20514"/>
                    <wp:lineTo x="21537" y="20514"/>
                    <wp:lineTo x="21537" y="0"/>
                    <wp:lineTo x="0" y="0"/>
                  </wp:wrapPolygon>
                </wp:wrapTight>
                <wp:docPr id="41" name="Text Box 41"/>
                <wp:cNvGraphicFramePr/>
                <a:graphic xmlns:a="http://schemas.openxmlformats.org/drawingml/2006/main">
                  <a:graphicData uri="http://schemas.microsoft.com/office/word/2010/wordprocessingShape">
                    <wps:wsp>
                      <wps:cNvSpPr txBox="1"/>
                      <wps:spPr>
                        <a:xfrm>
                          <a:off x="0" y="0"/>
                          <a:ext cx="4776470" cy="340995"/>
                        </a:xfrm>
                        <a:prstGeom prst="rect">
                          <a:avLst/>
                        </a:prstGeom>
                        <a:solidFill>
                          <a:prstClr val="white"/>
                        </a:solidFill>
                        <a:ln>
                          <a:noFill/>
                        </a:ln>
                      </wps:spPr>
                      <wps:txbx>
                        <w:txbxContent>
                          <w:p w14:paraId="4697D64B" w14:textId="1CC8AB4F" w:rsidR="00CE088E" w:rsidRPr="000441C4" w:rsidRDefault="00CE088E" w:rsidP="00D522F6">
                            <w:pPr>
                              <w:pStyle w:val="Figuretitle"/>
                              <w:rPr>
                                <w:noProof/>
                              </w:rPr>
                            </w:pPr>
                            <w:bookmarkStart w:id="224" w:name="_Toc19001702"/>
                            <w:r w:rsidRPr="000441C4">
                              <w:t xml:space="preserve">Figure </w:t>
                            </w:r>
                            <w:r>
                              <w:t>15</w:t>
                            </w:r>
                            <w:r>
                              <w:tab/>
                            </w:r>
                            <w:r w:rsidRPr="000441C4">
                              <w:t xml:space="preserve">Occupational uncertainty </w:t>
                            </w:r>
                            <w:r>
                              <w:t>LSAY Y06</w:t>
                            </w:r>
                            <w:bookmarkEnd w:id="2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FE84E" id="Text Box 41" o:spid="_x0000_s1037" type="#_x0000_t202" style="position:absolute;margin-left:0;margin-top:50.1pt;width:376.1pt;height:26.85pt;z-index:-251301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3kMQIAAGkEAAAOAAAAZHJzL2Uyb0RvYy54bWysVFFv2yAQfp+0/4B4X5x0WdNGcaosVaZJ&#10;VVspmfpMMMRIwDEgsbNfvwPb6dbtadoLPu6Og+/77ry4a40mJ+GDAlvSyWhMibAcKmUPJf2223y4&#10;oSREZiumwYqSnkWgd8v37xaNm4srqEFXwhMsYsO8cSWtY3Tzogi8FoaFEThhMSjBGxZx6w9F5VmD&#10;1Y0ursbj66IBXzkPXISA3vsuSJe5vpSCxycpg4hElxTfFvPq87pPa7FcsPnBM1cr3j+D/cMrDFMW&#10;L72UumeRkaNXf5QyinsIIOOIgylASsVFxoBoJuM3aLY1cyJjQXKCu9AU/l9Z/nh69kRVJZ1OKLHM&#10;oEY70UbyGVqCLuSncWGOaVuHibFFP+o8+AM6E+xWepO+CIhgHJk+X9hN1Tg6p7PZ9XSGIY6xj9Px&#10;7e2nVKZ4Pe18iF8EGJKMknpUL5PKTg8hdqlDSrosgFbVRmmdNimw1p6cGCrd1CqKvvhvWdqmXAvp&#10;VFcweYoEsYOSrNju20zJbIC5h+qM6D10/RMc3yi874GF+Mw8NgyiwiGIT7hIDU1JobcoqcH/+Js/&#10;5aOOGKWkwQYsafh+ZF5Qor9aVDh162D4wdgPhj2aNSBSFA1fk0084KMeTOnBvOBsrNItGGKW410l&#10;jYO5jt0Y4GxxsVrlJOxJx+KD3TqeSg+87toX5l2vSkQ9H2FoTTZ/I06X27G8OkaQKiuXeO1Y7OnG&#10;fs7a97OXBubXfc56/UMsfwIAAP//AwBQSwMEFAAGAAgAAAAhAKbPt7PdAAAACAEAAA8AAABkcnMv&#10;ZG93bnJldi54bWxMj0FPwzAMhe9I/IfISFwQSyjagNJ0gg1u47Ax7Zw1pq1onCpJ1+7fY05ws9+z&#10;nr9XLCfXiROG2HrScDdTIJAqb1uqNew/328fQcRkyJrOE2o4Y4RleXlRmNz6kbZ42qVacAjF3Gho&#10;UupzKWPVoDNx5nsk9r58cCbxGmppgxk53HUyU2ohnWmJPzSmx1WD1fducBoW6zCMW1rdrPdvG/PR&#10;19nh9XzQ+vpqenkGkXBKf8fwi8/oUDLT0Q9ko+g0cJHEqlIZCLYf5hkPR1bm908gy0L+L1D+AAAA&#10;//8DAFBLAQItABQABgAIAAAAIQC2gziS/gAAAOEBAAATAAAAAAAAAAAAAAAAAAAAAABbQ29udGVu&#10;dF9UeXBlc10ueG1sUEsBAi0AFAAGAAgAAAAhADj9If/WAAAAlAEAAAsAAAAAAAAAAAAAAAAALwEA&#10;AF9yZWxzLy5yZWxzUEsBAi0AFAAGAAgAAAAhAM5LPeQxAgAAaQQAAA4AAAAAAAAAAAAAAAAALgIA&#10;AGRycy9lMm9Eb2MueG1sUEsBAi0AFAAGAAgAAAAhAKbPt7PdAAAACAEAAA8AAAAAAAAAAAAAAAAA&#10;iwQAAGRycy9kb3ducmV2LnhtbFBLBQYAAAAABAAEAPMAAACVBQAAAAA=&#10;" stroked="f">
                <v:textbox inset="0,0,0,0">
                  <w:txbxContent>
                    <w:p w14:paraId="4697D64B" w14:textId="1CC8AB4F" w:rsidR="00CE088E" w:rsidRPr="000441C4" w:rsidRDefault="00CE088E" w:rsidP="00D522F6">
                      <w:pPr>
                        <w:pStyle w:val="Figuretitle"/>
                        <w:rPr>
                          <w:noProof/>
                        </w:rPr>
                      </w:pPr>
                      <w:bookmarkStart w:id="225" w:name="_Toc19001702"/>
                      <w:r w:rsidRPr="000441C4">
                        <w:t xml:space="preserve">Figure </w:t>
                      </w:r>
                      <w:r>
                        <w:t>15</w:t>
                      </w:r>
                      <w:r>
                        <w:tab/>
                      </w:r>
                      <w:r w:rsidRPr="000441C4">
                        <w:t xml:space="preserve">Occupational uncertainty </w:t>
                      </w:r>
                      <w:r>
                        <w:t>LSAY Y06</w:t>
                      </w:r>
                      <w:bookmarkEnd w:id="225"/>
                    </w:p>
                  </w:txbxContent>
                </v:textbox>
                <w10:wrap type="tight" anchorx="margin"/>
              </v:shape>
            </w:pict>
          </mc:Fallback>
        </mc:AlternateContent>
      </w:r>
      <w:r w:rsidR="007C423C">
        <w:t>What proportion of Australian youth does not know what job they want in adulthood? Does it matter if they don’t know? How?</w:t>
      </w:r>
      <w:bookmarkEnd w:id="222"/>
      <w:bookmarkEnd w:id="223"/>
    </w:p>
    <w:p w14:paraId="541A21C1" w14:textId="6CD3F9DC" w:rsidR="007C423C" w:rsidRDefault="00392114" w:rsidP="00D522F6">
      <w:pPr>
        <w:pStyle w:val="Text"/>
      </w:pPr>
      <w:r>
        <w:rPr>
          <w:noProof/>
        </w:rPr>
        <w:drawing>
          <wp:anchor distT="0" distB="0" distL="114300" distR="114300" simplePos="0" relativeHeight="252013568" behindDoc="1" locked="0" layoutInCell="1" allowOverlap="1" wp14:anchorId="339A3879" wp14:editId="509BD21C">
            <wp:simplePos x="0" y="0"/>
            <wp:positionH relativeFrom="margin">
              <wp:posOffset>3810</wp:posOffset>
            </wp:positionH>
            <wp:positionV relativeFrom="paragraph">
              <wp:posOffset>359410</wp:posOffset>
            </wp:positionV>
            <wp:extent cx="3434080" cy="3438525"/>
            <wp:effectExtent l="0" t="0" r="0" b="9525"/>
            <wp:wrapTight wrapText="bothSides">
              <wp:wrapPolygon edited="0">
                <wp:start x="479" y="0"/>
                <wp:lineTo x="0" y="239"/>
                <wp:lineTo x="0" y="21181"/>
                <wp:lineTo x="359" y="21540"/>
                <wp:lineTo x="479" y="21540"/>
                <wp:lineTo x="20969" y="21540"/>
                <wp:lineTo x="21089" y="21540"/>
                <wp:lineTo x="21448" y="21181"/>
                <wp:lineTo x="21448" y="239"/>
                <wp:lineTo x="20969" y="0"/>
                <wp:lineTo x="479"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34080" cy="3438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C423C">
        <w:t xml:space="preserve">The LSAY data on teenage occupational expectations also highlight that some young people are unable to articulate the occupation they want to pursue at the age of 30 </w:t>
      </w:r>
      <w:r w:rsidR="0038099B">
        <w:t xml:space="preserve">years </w:t>
      </w:r>
      <w:r w:rsidR="007C423C">
        <w:t xml:space="preserve">(Sikora 2018). In the older tradition of youth studies this occupational uncertainty was usually construed as a form of social disadvantage, or aimlessness, mostly because teenagers from </w:t>
      </w:r>
      <w:r w:rsidR="00EF4931">
        <w:t>disadvantaged</w:t>
      </w:r>
      <w:r w:rsidR="007C423C">
        <w:t xml:space="preserve"> socioeconomic backgrounds were more likely to be occupationally uncertain</w:t>
      </w:r>
      <w:r w:rsidR="00AD1158">
        <w:t>;</w:t>
      </w:r>
      <w:r w:rsidR="007C423C">
        <w:t xml:space="preserve"> </w:t>
      </w:r>
      <w:r w:rsidR="00AD1158">
        <w:t>t</w:t>
      </w:r>
      <w:r w:rsidR="007C423C">
        <w:t>he occupationally uncertain</w:t>
      </w:r>
      <w:r w:rsidR="00EF4931">
        <w:t xml:space="preserve"> youth</w:t>
      </w:r>
      <w:r w:rsidR="007C423C">
        <w:t xml:space="preserve"> in the United States</w:t>
      </w:r>
      <w:r w:rsidR="00EF4931">
        <w:t xml:space="preserve"> were found</w:t>
      </w:r>
      <w:r w:rsidR="007C423C">
        <w:t xml:space="preserve"> to attain less than their more vocationally decided peers (Sikora 2018). In the last two decades, however, a counter</w:t>
      </w:r>
      <w:r w:rsidR="00AD69F4">
        <w:t>-</w:t>
      </w:r>
      <w:r w:rsidR="007C423C">
        <w:t xml:space="preserve">argument </w:t>
      </w:r>
      <w:r w:rsidR="00AD69F4">
        <w:t>has been</w:t>
      </w:r>
      <w:r w:rsidR="007C423C">
        <w:t xml:space="preserve"> proposed</w:t>
      </w:r>
      <w:r w:rsidR="00AD69F4">
        <w:t>,</w:t>
      </w:r>
      <w:r w:rsidR="007C423C">
        <w:t xml:space="preserve"> in which occupational uncertainty in adolescence was not viewed as a cause for concern but rather a form of flexibility, which enables youth to explore several potential roles and </w:t>
      </w:r>
      <w:r w:rsidR="00695D66">
        <w:t xml:space="preserve">which </w:t>
      </w:r>
      <w:r w:rsidR="007C423C">
        <w:t xml:space="preserve">can be beneficial in the preparation for the volatile and fluid labour market of the </w:t>
      </w:r>
      <w:r w:rsidR="00AD1158">
        <w:t>21</w:t>
      </w:r>
      <w:r w:rsidR="00AD1158" w:rsidRPr="00AD1158">
        <w:rPr>
          <w:vertAlign w:val="superscript"/>
        </w:rPr>
        <w:t>st</w:t>
      </w:r>
      <w:r w:rsidR="00AD1158">
        <w:t xml:space="preserve"> </w:t>
      </w:r>
      <w:r w:rsidR="007C423C">
        <w:t>century. The analysis of this issue for the cohort who were 1</w:t>
      </w:r>
      <w:r w:rsidR="00EF4931">
        <w:t>5</w:t>
      </w:r>
      <w:r w:rsidR="007C423C">
        <w:t xml:space="preserve"> years of age in 2006 (</w:t>
      </w:r>
      <w:r w:rsidR="00387575">
        <w:t>f</w:t>
      </w:r>
      <w:r w:rsidR="007C423C">
        <w:t xml:space="preserve">igure </w:t>
      </w:r>
      <w:r w:rsidR="00DB7F76">
        <w:t>15</w:t>
      </w:r>
      <w:r w:rsidR="007C423C">
        <w:t>) shows that occupational uncertainty, which is essentially not being able to name the occupation in which one wants to work on their 30</w:t>
      </w:r>
      <w:r w:rsidR="007C423C" w:rsidRPr="00C90374">
        <w:rPr>
          <w:vertAlign w:val="superscript"/>
        </w:rPr>
        <w:t>th</w:t>
      </w:r>
      <w:r w:rsidR="007C423C">
        <w:t xml:space="preserve"> birthday</w:t>
      </w:r>
      <w:r w:rsidR="00695D66">
        <w:t>,</w:t>
      </w:r>
      <w:r w:rsidR="007C423C">
        <w:t xml:space="preserve"> persists from adolescence to young adulthood. </w:t>
      </w:r>
      <w:r w:rsidR="00387575">
        <w:t>Twenty-six per cent</w:t>
      </w:r>
      <w:r w:rsidR="007C423C">
        <w:t xml:space="preserve"> of females who are occupationally uncertain at </w:t>
      </w:r>
      <w:r w:rsidR="00387575">
        <w:t xml:space="preserve">age </w:t>
      </w:r>
      <w:r w:rsidR="007C423C">
        <w:t>1</w:t>
      </w:r>
      <w:r w:rsidR="00EF4931">
        <w:t>5</w:t>
      </w:r>
      <w:r w:rsidR="007C423C">
        <w:t xml:space="preserve"> were also unsure what their future career would be when they reached 2</w:t>
      </w:r>
      <w:r w:rsidR="00EF4931">
        <w:t>2</w:t>
      </w:r>
      <w:r w:rsidR="007C423C">
        <w:t xml:space="preserve"> years of age. The corresponding figure for males was 23%. This contrasted with 16% and 19% for men and women </w:t>
      </w:r>
      <w:r w:rsidR="00CF1F1E">
        <w:t xml:space="preserve">respectively </w:t>
      </w:r>
      <w:r w:rsidR="007C423C">
        <w:t xml:space="preserve">who did have some career plan at </w:t>
      </w:r>
      <w:r w:rsidR="00BE3DA4">
        <w:t xml:space="preserve">the </w:t>
      </w:r>
      <w:r w:rsidR="007C423C">
        <w:t xml:space="preserve">age </w:t>
      </w:r>
      <w:r w:rsidR="00BE3DA4">
        <w:t xml:space="preserve">of </w:t>
      </w:r>
      <w:r w:rsidR="007C423C">
        <w:t>1</w:t>
      </w:r>
      <w:r w:rsidR="00EF4931">
        <w:t>5</w:t>
      </w:r>
      <w:r w:rsidR="007C423C">
        <w:t xml:space="preserve"> </w:t>
      </w:r>
      <w:r w:rsidR="00CF1F1E">
        <w:t xml:space="preserve">years </w:t>
      </w:r>
      <w:r w:rsidR="007C423C">
        <w:t>but could</w:t>
      </w:r>
      <w:r w:rsidR="00EF4931">
        <w:t xml:space="preserve"> not</w:t>
      </w:r>
      <w:r w:rsidR="007C423C">
        <w:t xml:space="preserve"> articulate what they wanted to do when they were asked again around their 2</w:t>
      </w:r>
      <w:r w:rsidR="00EF4931">
        <w:t>2</w:t>
      </w:r>
      <w:r w:rsidR="00EF4931" w:rsidRPr="00EF4931">
        <w:rPr>
          <w:vertAlign w:val="superscript"/>
        </w:rPr>
        <w:t>nd</w:t>
      </w:r>
      <w:r w:rsidR="00EF4931">
        <w:t xml:space="preserve"> </w:t>
      </w:r>
      <w:r w:rsidR="007C423C">
        <w:t xml:space="preserve">birthday. So, teenage uncertainty raises the chances of occupational uncertainty in young adulthood by 45% (the estimates in </w:t>
      </w:r>
      <w:r w:rsidR="00AC648C">
        <w:t>f</w:t>
      </w:r>
      <w:r w:rsidR="007C423C">
        <w:t xml:space="preserve">igure </w:t>
      </w:r>
      <w:r w:rsidR="00DB7F76">
        <w:t xml:space="preserve">15 </w:t>
      </w:r>
      <w:r w:rsidR="007C423C">
        <w:t xml:space="preserve">are adjusted predicted probabilities from </w:t>
      </w:r>
      <w:r w:rsidR="00AC648C">
        <w:t>t</w:t>
      </w:r>
      <w:r w:rsidR="007C423C">
        <w:t>able 2 in Sikora 2018, which controlled for academic achievement</w:t>
      </w:r>
      <w:r w:rsidR="00E62921">
        <w:t>,</w:t>
      </w:r>
      <w:r w:rsidR="007C423C">
        <w:t xml:space="preserve"> enjoyment of school</w:t>
      </w:r>
      <w:r w:rsidR="00AC648C">
        <w:t xml:space="preserve"> and</w:t>
      </w:r>
      <w:r w:rsidR="007C423C">
        <w:t xml:space="preserve"> student socioeconomic background</w:t>
      </w:r>
      <w:r w:rsidR="00AC648C">
        <w:t>,</w:t>
      </w:r>
      <w:r w:rsidR="007C423C">
        <w:t xml:space="preserve"> as well as Indigenous and migration status). What is not shown in </w:t>
      </w:r>
      <w:r w:rsidR="00925786">
        <w:t>f</w:t>
      </w:r>
      <w:r w:rsidR="007C423C">
        <w:t xml:space="preserve">igure </w:t>
      </w:r>
      <w:r w:rsidR="00C44656">
        <w:t>15</w:t>
      </w:r>
      <w:r w:rsidR="007C423C">
        <w:t xml:space="preserve"> is that occupationally uncertain young adults have lower expected lifetime earnings than their comparable peers. The disadvantage is not as large as </w:t>
      </w:r>
      <w:r w:rsidR="00EF4931">
        <w:t>what was</w:t>
      </w:r>
      <w:r w:rsidR="007C423C">
        <w:t xml:space="preserve"> found in the U</w:t>
      </w:r>
      <w:r w:rsidR="00925786">
        <w:t>nited States</w:t>
      </w:r>
      <w:r w:rsidR="00EF4931">
        <w:t>, n</w:t>
      </w:r>
      <w:r w:rsidR="007C423C">
        <w:t xml:space="preserve">evertheless, the negative effect is statistically significant, amounting to about </w:t>
      </w:r>
      <w:r w:rsidR="001A5E8E">
        <w:t xml:space="preserve">a </w:t>
      </w:r>
      <w:r w:rsidR="007C423C">
        <w:t>6% decrease in expected lifetime earnings. So, in Australia occupational uncertainty among young adults is a form of aimlessness rather than beneficial flexibility. This is the case both for young men and women.</w:t>
      </w:r>
    </w:p>
    <w:p w14:paraId="098DC62E" w14:textId="2191F5AB" w:rsidR="007C423C" w:rsidRDefault="007C423C" w:rsidP="007C423C">
      <w:pPr>
        <w:pStyle w:val="Heading2"/>
      </w:pPr>
      <w:bookmarkStart w:id="226" w:name="_Toc15048952"/>
      <w:bookmarkStart w:id="227" w:name="_Toc19803965"/>
      <w:r>
        <w:lastRenderedPageBreak/>
        <w:t>Do boys and girls prefer different jobs? Are girls in recent cohorts as likely as boys to expect a career in science?</w:t>
      </w:r>
      <w:bookmarkEnd w:id="226"/>
      <w:bookmarkEnd w:id="227"/>
    </w:p>
    <w:p w14:paraId="7667B1CA" w14:textId="778A6A06" w:rsidR="00F7441D" w:rsidRDefault="00F7441D" w:rsidP="007C423C">
      <w:pPr>
        <w:jc w:val="both"/>
        <w:rPr>
          <w:b/>
          <w:noProof/>
        </w:rPr>
      </w:pPr>
      <w:r>
        <w:rPr>
          <w:noProof/>
        </w:rPr>
        <mc:AlternateContent>
          <mc:Choice Requires="wps">
            <w:drawing>
              <wp:anchor distT="0" distB="0" distL="114300" distR="114300" simplePos="0" relativeHeight="252016640" behindDoc="1" locked="0" layoutInCell="1" allowOverlap="1" wp14:anchorId="561D5FB5" wp14:editId="79D7807C">
                <wp:simplePos x="0" y="0"/>
                <wp:positionH relativeFrom="column">
                  <wp:posOffset>42545</wp:posOffset>
                </wp:positionH>
                <wp:positionV relativeFrom="paragraph">
                  <wp:posOffset>57150</wp:posOffset>
                </wp:positionV>
                <wp:extent cx="3826510" cy="495300"/>
                <wp:effectExtent l="0" t="0" r="2540" b="0"/>
                <wp:wrapTight wrapText="bothSides">
                  <wp:wrapPolygon edited="0">
                    <wp:start x="0" y="0"/>
                    <wp:lineTo x="0" y="20769"/>
                    <wp:lineTo x="21507" y="20769"/>
                    <wp:lineTo x="21507"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3826510" cy="495300"/>
                        </a:xfrm>
                        <a:prstGeom prst="rect">
                          <a:avLst/>
                        </a:prstGeom>
                        <a:solidFill>
                          <a:prstClr val="white"/>
                        </a:solidFill>
                        <a:ln>
                          <a:noFill/>
                        </a:ln>
                      </wps:spPr>
                      <wps:txbx>
                        <w:txbxContent>
                          <w:p w14:paraId="37ABB070" w14:textId="1B193847" w:rsidR="00CE088E" w:rsidRDefault="00CE088E" w:rsidP="00F7441D">
                            <w:pPr>
                              <w:pStyle w:val="Figuretitle"/>
                            </w:pPr>
                            <w:bookmarkStart w:id="228" w:name="_Toc19001703"/>
                            <w:r w:rsidRPr="004709A4">
                              <w:t xml:space="preserve">Figure </w:t>
                            </w:r>
                            <w:r>
                              <w:t>16</w:t>
                            </w:r>
                            <w:r>
                              <w:tab/>
                              <w:t xml:space="preserve"> </w:t>
                            </w:r>
                            <w:r w:rsidRPr="004709A4">
                              <w:t>Gender gap in science-related career expectations</w:t>
                            </w:r>
                            <w:bookmarkEnd w:id="2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D5FB5" id="Text Box 42" o:spid="_x0000_s1038" type="#_x0000_t202" style="position:absolute;left:0;text-align:left;margin-left:3.35pt;margin-top:4.5pt;width:301.3pt;height:39pt;z-index:-25129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eqNAIAAGkEAAAOAAAAZHJzL2Uyb0RvYy54bWysVE2P2yAQvVfqf0DcGyfZD+1acVZpVqkq&#10;RbsrJdWeCYYYCRgKJHb66zvgONtue6p6wcPMMPDem/HsoTOaHIUPCmxFJ6MxJcJyqJXdV/TbdvXp&#10;jpIQma2ZBisqehKBPsw/fpi1rhRTaEDXwhMsYkPZuoo2MbqyKAJvhGFhBE5YDErwhkXc+n1Re9Zi&#10;daOL6Xh8W7Tga+eBixDQ+9gH6TzXl1Lw+CxlEJHoiuLbYl59XndpLeYzVu49c43i52ewf3iFYcri&#10;pZdSjywycvDqj1JGcQ8BZBxxMAVIqbjIGBDNZPwOzaZhTmQsSE5wF5rC/yvLn44vnqi6otdTSiwz&#10;qNFWdJF8ho6gC/lpXSgxbeMwMXboR50Hf0Bngt1Jb9IXARGMI9OnC7upGkfn1d309maCIY6x6/ub&#10;q3Gmv3g77XyIXwQYkoyKelQvk8qO6xDxJZg6pKTLAmhVr5TWaZMCS+3JkaHSbaOiSG/EE79laZty&#10;LaRTfTh5igSxh5Ks2O26TMndAHMH9QnRe+j7Jzi+UnjfmoX4wjw2DKLCIYjPuEgNbUXhbFHSgP/x&#10;N3/KRx0xSkmLDVjR8P3AvKBEf7WocOrWwfCDsRsMezBLQKQTHC/Hs4kHfNSDKT2YV5yNRboFQ8xy&#10;vKuicTCXsR8DnC0uFouchD3pWFzbjeOp9MDrtntl3p1ViajnEwytycp34vS5PcuLQwSpsnKJ157F&#10;M93Yz1me8+ylgfl1n7Pe/hDznwAAAP//AwBQSwMEFAAGAAgAAAAhAHxoH8fcAAAABgEAAA8AAABk&#10;cnMvZG93bnJldi54bWxMj8FOwzAQRO9I/IO1SFwQtSlS2oY4FbRwg0NL1bMbL0lEvI5sp0n/nuUE&#10;x9WM3rwt1pPrxBlDbD1peJgpEEiVty3VGg6fb/dLEDEZsqbzhBouGGFdXl8VJrd+pB2e96kWDKGY&#10;Gw1NSn0uZawadCbOfI/E2ZcPziQ+Qy1tMCPDXSfnSmXSmZZ4oTE9bhqsvveD05BtwzDuaHO3Pby+&#10;m4++nh9fLketb2+m5ycQCaf0V4ZffVaHkp1OfiAbRceMBRc1rPghTjO1egRx0rBcKJBlIf/rlz8A&#10;AAD//wMAUEsBAi0AFAAGAAgAAAAhALaDOJL+AAAA4QEAABMAAAAAAAAAAAAAAAAAAAAAAFtDb250&#10;ZW50X1R5cGVzXS54bWxQSwECLQAUAAYACAAAACEAOP0h/9YAAACUAQAACwAAAAAAAAAAAAAAAAAv&#10;AQAAX3JlbHMvLnJlbHNQSwECLQAUAAYACAAAACEA4GTnqjQCAABpBAAADgAAAAAAAAAAAAAAAAAu&#10;AgAAZHJzL2Uyb0RvYy54bWxQSwECLQAUAAYACAAAACEAfGgfx9wAAAAGAQAADwAAAAAAAAAAAAAA&#10;AACOBAAAZHJzL2Rvd25yZXYueG1sUEsFBgAAAAAEAAQA8wAAAJcFAAAAAA==&#10;" stroked="f">
                <v:textbox inset="0,0,0,0">
                  <w:txbxContent>
                    <w:p w14:paraId="37ABB070" w14:textId="1B193847" w:rsidR="00CE088E" w:rsidRDefault="00CE088E" w:rsidP="00F7441D">
                      <w:pPr>
                        <w:pStyle w:val="Figuretitle"/>
                      </w:pPr>
                      <w:bookmarkStart w:id="229" w:name="_Toc19001703"/>
                      <w:r w:rsidRPr="004709A4">
                        <w:t xml:space="preserve">Figure </w:t>
                      </w:r>
                      <w:r>
                        <w:t>16</w:t>
                      </w:r>
                      <w:r>
                        <w:tab/>
                        <w:t xml:space="preserve"> </w:t>
                      </w:r>
                      <w:r w:rsidRPr="004709A4">
                        <w:t>Gender gap in science-related career expectations</w:t>
                      </w:r>
                      <w:bookmarkEnd w:id="229"/>
                    </w:p>
                  </w:txbxContent>
                </v:textbox>
                <w10:wrap type="tight"/>
              </v:shape>
            </w:pict>
          </mc:Fallback>
        </mc:AlternateContent>
      </w:r>
    </w:p>
    <w:p w14:paraId="4D10E408" w14:textId="3516A212" w:rsidR="00F7441D" w:rsidRDefault="00F7441D" w:rsidP="00F7441D">
      <w:pPr>
        <w:rPr>
          <w:rStyle w:val="TextChar"/>
        </w:rPr>
      </w:pPr>
      <w:r w:rsidRPr="00F7441D">
        <w:rPr>
          <w:rStyle w:val="TextChar"/>
          <w:noProof/>
        </w:rPr>
        <w:drawing>
          <wp:anchor distT="0" distB="0" distL="114300" distR="114300" simplePos="0" relativeHeight="252015616" behindDoc="1" locked="0" layoutInCell="1" allowOverlap="1" wp14:anchorId="31BE5D17" wp14:editId="0B3A3F95">
            <wp:simplePos x="0" y="0"/>
            <wp:positionH relativeFrom="margin">
              <wp:posOffset>-24130</wp:posOffset>
            </wp:positionH>
            <wp:positionV relativeFrom="paragraph">
              <wp:posOffset>276225</wp:posOffset>
            </wp:positionV>
            <wp:extent cx="3448050" cy="4943475"/>
            <wp:effectExtent l="0" t="0" r="0" b="9525"/>
            <wp:wrapTight wrapText="bothSides">
              <wp:wrapPolygon edited="0">
                <wp:start x="477" y="0"/>
                <wp:lineTo x="0" y="166"/>
                <wp:lineTo x="0" y="21392"/>
                <wp:lineTo x="358" y="21558"/>
                <wp:lineTo x="477" y="21558"/>
                <wp:lineTo x="21003" y="21558"/>
                <wp:lineTo x="21123" y="21558"/>
                <wp:lineTo x="21481" y="21392"/>
                <wp:lineTo x="21481" y="166"/>
                <wp:lineTo x="21003" y="0"/>
                <wp:lineTo x="477"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941" t="6486"/>
                    <a:stretch/>
                  </pic:blipFill>
                  <pic:spPr bwMode="auto">
                    <a:xfrm>
                      <a:off x="0" y="0"/>
                      <a:ext cx="3448050" cy="49434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65EB26" w14:textId="7030F784" w:rsidR="00821264" w:rsidRDefault="007C423C" w:rsidP="00821264">
      <w:r w:rsidRPr="00F7441D">
        <w:rPr>
          <w:rStyle w:val="TextChar"/>
        </w:rPr>
        <w:t xml:space="preserve">The careers that teenagers expect to pursue vary significantly between boys and girls. This gender divide is particularly interesting to consider in the context of science professions because of the often-voiced concerns about women’s underrepresentation in Australian science (Sikora 2014b). However, not all areas of science are affected by female underrepresentation. </w:t>
      </w:r>
      <w:r w:rsidR="00FB746C">
        <w:rPr>
          <w:rStyle w:val="TextChar"/>
        </w:rPr>
        <w:t>The f</w:t>
      </w:r>
      <w:r w:rsidRPr="00F7441D">
        <w:rPr>
          <w:rStyle w:val="TextChar"/>
        </w:rPr>
        <w:t>ields of science related to biology, environmental sciences, health services and medicine attract more teenage females than males. In contrast, computing</w:t>
      </w:r>
      <w:r w:rsidR="00C5444E">
        <w:rPr>
          <w:rStyle w:val="TextChar"/>
        </w:rPr>
        <w:t>,</w:t>
      </w:r>
      <w:r w:rsidRPr="00F7441D">
        <w:rPr>
          <w:rStyle w:val="TextChar"/>
        </w:rPr>
        <w:t xml:space="preserve"> engineering and mathematics appeal to relatively few young women (</w:t>
      </w:r>
      <w:r w:rsidR="00042710">
        <w:t>Sikora 2014a</w:t>
      </w:r>
      <w:r w:rsidR="00042710">
        <w:rPr>
          <w:rStyle w:val="TextChar"/>
        </w:rPr>
        <w:t xml:space="preserve">; </w:t>
      </w:r>
      <w:r w:rsidRPr="00F7441D">
        <w:rPr>
          <w:rStyle w:val="TextChar"/>
        </w:rPr>
        <w:t xml:space="preserve">Sikora </w:t>
      </w:r>
      <w:r>
        <w:t xml:space="preserve">&amp; </w:t>
      </w:r>
      <w:proofErr w:type="spellStart"/>
      <w:r>
        <w:t>Pokropek</w:t>
      </w:r>
      <w:proofErr w:type="spellEnd"/>
      <w:r>
        <w:t xml:space="preserve"> 2012).</w:t>
      </w:r>
    </w:p>
    <w:p w14:paraId="3CF08BC0" w14:textId="2EEF8B48" w:rsidR="007C423C" w:rsidRDefault="00F7441D" w:rsidP="00821264">
      <w:r w:rsidRPr="00F7441D">
        <w:rPr>
          <w:rStyle w:val="TextChar"/>
          <w:noProof/>
        </w:rPr>
        <mc:AlternateContent>
          <mc:Choice Requires="wps">
            <w:drawing>
              <wp:anchor distT="0" distB="0" distL="114300" distR="114300" simplePos="0" relativeHeight="252019712" behindDoc="1" locked="0" layoutInCell="1" allowOverlap="1" wp14:anchorId="370897EA" wp14:editId="69D9156D">
                <wp:simplePos x="0" y="0"/>
                <wp:positionH relativeFrom="column">
                  <wp:posOffset>4445</wp:posOffset>
                </wp:positionH>
                <wp:positionV relativeFrom="paragraph">
                  <wp:posOffset>412115</wp:posOffset>
                </wp:positionV>
                <wp:extent cx="3419475" cy="352425"/>
                <wp:effectExtent l="0" t="0" r="9525" b="9525"/>
                <wp:wrapTight wrapText="bothSides">
                  <wp:wrapPolygon edited="0">
                    <wp:start x="0" y="0"/>
                    <wp:lineTo x="0" y="21016"/>
                    <wp:lineTo x="21540" y="21016"/>
                    <wp:lineTo x="21540" y="0"/>
                    <wp:lineTo x="0" y="0"/>
                  </wp:wrapPolygon>
                </wp:wrapTight>
                <wp:docPr id="49" name="Text Box 49"/>
                <wp:cNvGraphicFramePr/>
                <a:graphic xmlns:a="http://schemas.openxmlformats.org/drawingml/2006/main">
                  <a:graphicData uri="http://schemas.microsoft.com/office/word/2010/wordprocessingShape">
                    <wps:wsp>
                      <wps:cNvSpPr txBox="1"/>
                      <wps:spPr>
                        <a:xfrm>
                          <a:off x="0" y="0"/>
                          <a:ext cx="3419475" cy="352425"/>
                        </a:xfrm>
                        <a:prstGeom prst="rect">
                          <a:avLst/>
                        </a:prstGeom>
                        <a:solidFill>
                          <a:prstClr val="white"/>
                        </a:solidFill>
                        <a:ln>
                          <a:noFill/>
                        </a:ln>
                      </wps:spPr>
                      <wps:txbx>
                        <w:txbxContent>
                          <w:p w14:paraId="3887C03E" w14:textId="38677293" w:rsidR="00CE088E" w:rsidRPr="00255E05" w:rsidRDefault="00CE088E" w:rsidP="0010685D">
                            <w:pPr>
                              <w:pStyle w:val="Source"/>
                              <w:ind w:left="142" w:firstLine="0"/>
                            </w:pPr>
                            <w:r w:rsidRPr="00255E05">
                              <w:t>*The samples in 1999 and 2001 are grade-based, while all later samples are age-based</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897EA" id="Text Box 49" o:spid="_x0000_s1039" type="#_x0000_t202" style="position:absolute;margin-left:.35pt;margin-top:32.45pt;width:269.25pt;height:27.75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iVMgIAAGkEAAAOAAAAZHJzL2Uyb0RvYy54bWysVFFv2yAQfp+0/4B4X5ykydZacaosVaZJ&#10;UVspmfpMMMRImGNAYme/fge2063b07QXfNwdB9/33Xlx39aanIXzCkxBJ6MxJcJwKJU5FvTbfvPh&#10;lhIfmCmZBiMKehGe3i/fv1s0NhdTqECXwhEsYnze2IJWIdg8yzyvRM38CKwwGJTgahZw645Z6ViD&#10;1WudTcfjj1kDrrQOuPAevQ9dkC5TfSkFD09SehGILii+LaTVpfUQ12y5YPnRMVsp3j+D/cMraqYM&#10;Xnot9cACIyen/ihVK+7AgwwjDnUGUiouEgZEMxm/QbOrmBUJC5Lj7ZUm///K8sfzsyOqLOjsjhLD&#10;atRoL9pAPkNL0IX8NNbnmLazmBha9KPOg9+jM8JupavjFwERjCPTlyu7sRpH581scjf7NKeEY+xm&#10;Pp1N57FM9nraOh++CKhJNArqUL1EKjtvfehSh5R4mQetyo3SOm5iYK0dOTNUuqlUEH3x37K0ibkG&#10;4qmuYPRkEWIHJVqhPbSJkiv8A5QXRO+g6x9v+UbhfVvmwzNz2DAIGIcgPOEiNTQFhd6ipAL342/+&#10;mI86YpSSBhuwoP77iTlBif5qUOHYrYPhBuMwGOZUrwGRTnC8LE8mHnBBD6Z0UL/gbKziLRhihuNd&#10;BQ2DuQ7dGOBscbFapSTsScvC1uwsj6UHXvftC3O2VyWgno8wtCbL34jT5XYsr04BpErKRV47Fnu6&#10;sZ+T9v3sxYH5dZ+yXv8Qy58AAAD//wMAUEsDBBQABgAIAAAAIQDl4Bvl3AAAAAcBAAAPAAAAZHJz&#10;L2Rvd25yZXYueG1sTI7NTsMwEAbvSLyDtUhcEHUIpaUhTgUtvcGhP+rZjZckIl5HttOkb89yguPq&#10;G81OvhxtK87oQ+NIwcMkAYFUOtNQpeCw39w/gwhRk9GtI1RwwQDL4voq15lxA23xvIuVYAmFTCuo&#10;Y+wyKUNZo9Vh4jok3r6ctzry6StpvB5YbluZJslMWt0Qf6h1h6say+9dbxXM1r4ftrS6Wx/eP/Rn&#10;V6XHt8tRqdub8fUFRMQx/sHwm8/pUHDTyfVkgmgVzJlj03QBgtenx0UK4sRYmkxBFrn831/8AAAA&#10;//8DAFBLAQItABQABgAIAAAAIQC2gziS/gAAAOEBAAATAAAAAAAAAAAAAAAAAAAAAABbQ29udGVu&#10;dF9UeXBlc10ueG1sUEsBAi0AFAAGAAgAAAAhADj9If/WAAAAlAEAAAsAAAAAAAAAAAAAAAAALwEA&#10;AF9yZWxzLy5yZWxzUEsBAi0AFAAGAAgAAAAhAB6iaJUyAgAAaQQAAA4AAAAAAAAAAAAAAAAALgIA&#10;AGRycy9lMm9Eb2MueG1sUEsBAi0AFAAGAAgAAAAhAOXgG+XcAAAABwEAAA8AAAAAAAAAAAAAAAAA&#10;jAQAAGRycy9kb3ducmV2LnhtbFBLBQYAAAAABAAEAPMAAACVBQAAAAA=&#10;" stroked="f">
                <v:textbox inset="0,0,0,0">
                  <w:txbxContent>
                    <w:p w14:paraId="3887C03E" w14:textId="38677293" w:rsidR="00CE088E" w:rsidRPr="00255E05" w:rsidRDefault="00CE088E" w:rsidP="0010685D">
                      <w:pPr>
                        <w:pStyle w:val="Source"/>
                        <w:ind w:left="142" w:firstLine="0"/>
                      </w:pPr>
                      <w:r w:rsidRPr="00255E05">
                        <w:t>*The samples in 1999 and 2001 are grade-based, while all later samples are age-based</w:t>
                      </w:r>
                      <w:r>
                        <w:t>.</w:t>
                      </w:r>
                    </w:p>
                  </w:txbxContent>
                </v:textbox>
                <w10:wrap type="tight"/>
              </v:shape>
            </w:pict>
          </mc:Fallback>
        </mc:AlternateContent>
      </w:r>
      <w:r w:rsidR="007C423C" w:rsidRPr="00F7441D">
        <w:rPr>
          <w:rStyle w:val="TextChar"/>
        </w:rPr>
        <w:t xml:space="preserve">This gender segregation in </w:t>
      </w:r>
      <w:r w:rsidR="00543A28">
        <w:rPr>
          <w:rStyle w:val="TextChar"/>
        </w:rPr>
        <w:t xml:space="preserve">the </w:t>
      </w:r>
      <w:r w:rsidR="007C423C" w:rsidRPr="00F7441D">
        <w:rPr>
          <w:rStyle w:val="TextChar"/>
        </w:rPr>
        <w:t xml:space="preserve">science-related career expectations of adolescents is an ongoing phenomenon. Figure </w:t>
      </w:r>
      <w:r w:rsidR="00DB7F76">
        <w:rPr>
          <w:rStyle w:val="TextChar"/>
        </w:rPr>
        <w:t>16</w:t>
      </w:r>
      <w:r w:rsidR="00DB7F76" w:rsidRPr="00F7441D">
        <w:rPr>
          <w:rStyle w:val="TextChar"/>
        </w:rPr>
        <w:t xml:space="preserve"> </w:t>
      </w:r>
      <w:r w:rsidR="007C423C" w:rsidRPr="00F7441D">
        <w:rPr>
          <w:rStyle w:val="TextChar"/>
        </w:rPr>
        <w:t>shows the breakdown by gender for youth who were about 1</w:t>
      </w:r>
      <w:r w:rsidR="00042710">
        <w:rPr>
          <w:rStyle w:val="TextChar"/>
        </w:rPr>
        <w:t>5</w:t>
      </w:r>
      <w:r w:rsidR="007C423C" w:rsidRPr="00F7441D">
        <w:rPr>
          <w:rStyle w:val="TextChar"/>
        </w:rPr>
        <w:t xml:space="preserve"> years of age in 1999, 2001, 2003, 2006, 2009 and 2015. In all cohorts the gender gap is evident, so</w:t>
      </w:r>
      <w:r w:rsidR="00042710">
        <w:rPr>
          <w:rStyle w:val="TextChar"/>
        </w:rPr>
        <w:t xml:space="preserve"> the</w:t>
      </w:r>
      <w:r w:rsidR="007C423C" w:rsidRPr="00F7441D">
        <w:rPr>
          <w:rStyle w:val="TextChar"/>
        </w:rPr>
        <w:t xml:space="preserve"> efforts to encourage boys and girls to opt for non-traditional areas of science</w:t>
      </w:r>
      <w:r w:rsidR="004A40A2">
        <w:rPr>
          <w:rStyle w:val="TextChar"/>
        </w:rPr>
        <w:t xml:space="preserve"> </w:t>
      </w:r>
      <w:r w:rsidR="007C423C" w:rsidRPr="00F7441D">
        <w:rPr>
          <w:rStyle w:val="TextChar"/>
        </w:rPr>
        <w:t xml:space="preserve">specialisation so far have </w:t>
      </w:r>
      <w:r w:rsidR="00042710">
        <w:rPr>
          <w:rStyle w:val="TextChar"/>
        </w:rPr>
        <w:t>had only moderate success</w:t>
      </w:r>
      <w:r w:rsidR="007C423C" w:rsidRPr="00F7441D">
        <w:rPr>
          <w:rStyle w:val="TextChar"/>
        </w:rPr>
        <w:t xml:space="preserve">. Why do </w:t>
      </w:r>
      <w:r w:rsidR="00DB574B">
        <w:rPr>
          <w:rStyle w:val="TextChar"/>
        </w:rPr>
        <w:t xml:space="preserve">more </w:t>
      </w:r>
      <w:r w:rsidR="007C423C" w:rsidRPr="00F7441D">
        <w:rPr>
          <w:rStyle w:val="TextChar"/>
        </w:rPr>
        <w:t>males opt for different areas of science than females? One of the most common explanations is that girls are sociali</w:t>
      </w:r>
      <w:r w:rsidR="004A40A2">
        <w:rPr>
          <w:rStyle w:val="TextChar"/>
        </w:rPr>
        <w:t>s</w:t>
      </w:r>
      <w:r w:rsidR="007C423C" w:rsidRPr="00F7441D">
        <w:rPr>
          <w:rStyle w:val="TextChar"/>
        </w:rPr>
        <w:t>ed to choose occupations they think of as working with other people or helping others, while boys are sociali</w:t>
      </w:r>
      <w:r w:rsidR="004A40A2">
        <w:rPr>
          <w:rStyle w:val="TextChar"/>
        </w:rPr>
        <w:t>s</w:t>
      </w:r>
      <w:r w:rsidR="007C423C" w:rsidRPr="00F7441D">
        <w:rPr>
          <w:rStyle w:val="TextChar"/>
        </w:rPr>
        <w:t xml:space="preserve">ed to opt for occupations </w:t>
      </w:r>
      <w:r w:rsidR="00C5444E">
        <w:rPr>
          <w:rStyle w:val="TextChar"/>
        </w:rPr>
        <w:t>that</w:t>
      </w:r>
      <w:r w:rsidR="007C423C" w:rsidRPr="00F7441D">
        <w:rPr>
          <w:rStyle w:val="TextChar"/>
        </w:rPr>
        <w:t xml:space="preserve"> deal with technological problem</w:t>
      </w:r>
      <w:r w:rsidR="00DB574B">
        <w:rPr>
          <w:rStyle w:val="TextChar"/>
        </w:rPr>
        <w:t>-</w:t>
      </w:r>
      <w:r w:rsidR="007C423C" w:rsidRPr="00F7441D">
        <w:rPr>
          <w:rStyle w:val="TextChar"/>
        </w:rPr>
        <w:t xml:space="preserve">solving and construction. Therefore, even when young people of different genders have comparable mathematical aptitudes, they often choose to apply their quantitative skills in different fields of science (Sikora &amp; </w:t>
      </w:r>
      <w:proofErr w:type="spellStart"/>
      <w:r w:rsidR="007C423C" w:rsidRPr="00F7441D">
        <w:rPr>
          <w:rStyle w:val="TextChar"/>
        </w:rPr>
        <w:t>Pokropek</w:t>
      </w:r>
      <w:proofErr w:type="spellEnd"/>
      <w:r w:rsidR="007C423C" w:rsidRPr="00F7441D">
        <w:rPr>
          <w:rStyle w:val="TextChar"/>
        </w:rPr>
        <w:t xml:space="preserve"> 2012). Adolescent expectations </w:t>
      </w:r>
      <w:r w:rsidR="004A40A2" w:rsidRPr="00F7441D">
        <w:rPr>
          <w:rStyle w:val="TextChar"/>
        </w:rPr>
        <w:t xml:space="preserve">also </w:t>
      </w:r>
      <w:r w:rsidR="007C423C" w:rsidRPr="00F7441D">
        <w:rPr>
          <w:rStyle w:val="TextChar"/>
        </w:rPr>
        <w:t>reflect to some degree the actual segregation in the labour force: women are underrepresented in computing, engineering and mathematics but not at all or considerably less so in biology, health services or environmental sciences.</w:t>
      </w:r>
    </w:p>
    <w:p w14:paraId="732E2315" w14:textId="1F37AF8F" w:rsidR="007C423C" w:rsidRDefault="007C423C" w:rsidP="007C423C">
      <w:pPr>
        <w:pStyle w:val="Heading2"/>
      </w:pPr>
      <w:bookmarkStart w:id="230" w:name="_Toc15048953"/>
      <w:bookmarkStart w:id="231" w:name="_Toc19803966"/>
      <w:r>
        <w:lastRenderedPageBreak/>
        <w:t>Are teenage expectations consequential? How many 2</w:t>
      </w:r>
      <w:r w:rsidR="00042710">
        <w:t>5</w:t>
      </w:r>
      <w:r>
        <w:t xml:space="preserve">-year-olds still plan on entering science careers chosen at </w:t>
      </w:r>
      <w:r w:rsidR="00146066">
        <w:t xml:space="preserve">age </w:t>
      </w:r>
      <w:r>
        <w:t>1</w:t>
      </w:r>
      <w:r w:rsidR="00042710">
        <w:t>5</w:t>
      </w:r>
      <w:r>
        <w:t>?</w:t>
      </w:r>
      <w:bookmarkEnd w:id="230"/>
      <w:bookmarkEnd w:id="231"/>
    </w:p>
    <w:p w14:paraId="4C04D0C4" w14:textId="61974F98" w:rsidR="007C423C" w:rsidRPr="0044597C" w:rsidRDefault="007C423C" w:rsidP="00821264">
      <w:pPr>
        <w:pStyle w:val="Text"/>
      </w:pPr>
      <w:r>
        <w:t xml:space="preserve">Teenage expectations to enter specific occupations would have little information value if they were poor predictors of </w:t>
      </w:r>
      <w:r w:rsidR="000C56A7">
        <w:t xml:space="preserve">the </w:t>
      </w:r>
      <w:r>
        <w:t>later educational and occupational attainment of young people (Sikora 2015). In fact, they are quite good predictors. This does not mean, however, that adolescents do not change their mind</w:t>
      </w:r>
      <w:r w:rsidR="00146066">
        <w:t>s</w:t>
      </w:r>
      <w:r>
        <w:t xml:space="preserve">, as they enter adulthood. Figure </w:t>
      </w:r>
      <w:r w:rsidR="00C44656">
        <w:t>17</w:t>
      </w:r>
      <w:r>
        <w:t xml:space="preserve"> shows that vocational orientation towards science begins relatively early</w:t>
      </w:r>
      <w:r w:rsidR="00C5444E">
        <w:t>;</w:t>
      </w:r>
      <w:r w:rsidR="00042710">
        <w:t xml:space="preserve"> </w:t>
      </w:r>
      <w:r w:rsidR="00C5444E">
        <w:t xml:space="preserve">of </w:t>
      </w:r>
      <w:r>
        <w:t xml:space="preserve">males who knew at </w:t>
      </w:r>
      <w:r w:rsidR="009B1463">
        <w:t xml:space="preserve">age </w:t>
      </w:r>
      <w:r>
        <w:t>1</w:t>
      </w:r>
      <w:r w:rsidR="00042710">
        <w:t>5</w:t>
      </w:r>
      <w:r>
        <w:t xml:space="preserve"> </w:t>
      </w:r>
      <w:r w:rsidR="009B1463">
        <w:t xml:space="preserve">that </w:t>
      </w:r>
      <w:r>
        <w:t>science occupations were not of interest to them</w:t>
      </w:r>
      <w:r w:rsidR="00042710">
        <w:t>,</w:t>
      </w:r>
      <w:r>
        <w:t xml:space="preserve"> 88% were </w:t>
      </w:r>
      <w:r w:rsidR="00BA3023">
        <w:t xml:space="preserve">still </w:t>
      </w:r>
      <w:r>
        <w:t>of this view at the age of 2</w:t>
      </w:r>
      <w:r w:rsidR="00042710">
        <w:t>2</w:t>
      </w:r>
      <w:r w:rsidR="00AF4025">
        <w:t>,</w:t>
      </w:r>
      <w:r>
        <w:t xml:space="preserve"> and of these males</w:t>
      </w:r>
      <w:r w:rsidR="006B79D4">
        <w:t>,</w:t>
      </w:r>
      <w:r>
        <w:t xml:space="preserve"> 93% still thought so when they turned 2</w:t>
      </w:r>
      <w:r w:rsidR="00042710">
        <w:t>5</w:t>
      </w:r>
      <w:r>
        <w:t>. The corresponding proportions of females were very similar. Science-oriented teenagers, boys and girls alike, tended to switch to non-science occupational plans as they g</w:t>
      </w:r>
      <w:r w:rsidR="006B79D4">
        <w:t>o</w:t>
      </w:r>
      <w:r>
        <w:t>t older.</w:t>
      </w:r>
    </w:p>
    <w:p w14:paraId="2E575875" w14:textId="1B96219E" w:rsidR="007C423C" w:rsidRPr="00464447" w:rsidRDefault="007C423C" w:rsidP="00464447">
      <w:pPr>
        <w:pStyle w:val="Figuretitle"/>
      </w:pPr>
      <w:bookmarkStart w:id="232" w:name="_Toc19001704"/>
      <w:r w:rsidRPr="00464447">
        <w:t xml:space="preserve">Figure </w:t>
      </w:r>
      <w:r w:rsidR="00DB7F76" w:rsidRPr="00464447">
        <w:t>17</w:t>
      </w:r>
      <w:r w:rsidR="002302E9" w:rsidRPr="00464447">
        <w:tab/>
      </w:r>
      <w:r w:rsidRPr="00464447">
        <w:t>Stability of science-related career expectations LSAY</w:t>
      </w:r>
      <w:r w:rsidR="0032375D" w:rsidRPr="00464447">
        <w:t xml:space="preserve"> Y</w:t>
      </w:r>
      <w:r w:rsidRPr="00464447">
        <w:t>06</w:t>
      </w:r>
      <w:bookmarkEnd w:id="232"/>
      <w:r w:rsidR="00D90168" w:rsidRPr="00464447">
        <w:t xml:space="preserve"> (Sikora 2019)</w:t>
      </w:r>
    </w:p>
    <w:p w14:paraId="07A3C297" w14:textId="7AAF8162" w:rsidR="00821264" w:rsidRDefault="00821264" w:rsidP="007C423C">
      <w:pPr>
        <w:jc w:val="both"/>
      </w:pPr>
      <w:r>
        <w:rPr>
          <w:b/>
          <w:noProof/>
        </w:rPr>
        <w:drawing>
          <wp:anchor distT="0" distB="0" distL="114300" distR="114300" simplePos="0" relativeHeight="252020736" behindDoc="0" locked="0" layoutInCell="1" allowOverlap="1" wp14:anchorId="16CB8E22" wp14:editId="380D0662">
            <wp:simplePos x="0" y="0"/>
            <wp:positionH relativeFrom="margin">
              <wp:posOffset>-659</wp:posOffset>
            </wp:positionH>
            <wp:positionV relativeFrom="paragraph">
              <wp:posOffset>28880</wp:posOffset>
            </wp:positionV>
            <wp:extent cx="5230368" cy="2347597"/>
            <wp:effectExtent l="0" t="0" r="889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5513" cy="2349907"/>
                    </a:xfrm>
                    <a:prstGeom prst="rect">
                      <a:avLst/>
                    </a:prstGeom>
                    <a:noFill/>
                  </pic:spPr>
                </pic:pic>
              </a:graphicData>
            </a:graphic>
            <wp14:sizeRelH relativeFrom="page">
              <wp14:pctWidth>0</wp14:pctWidth>
            </wp14:sizeRelH>
            <wp14:sizeRelV relativeFrom="page">
              <wp14:pctHeight>0</wp14:pctHeight>
            </wp14:sizeRelV>
          </wp:anchor>
        </w:drawing>
      </w:r>
    </w:p>
    <w:p w14:paraId="5B620B76" w14:textId="77777777" w:rsidR="00821264" w:rsidRDefault="00821264" w:rsidP="007C423C">
      <w:pPr>
        <w:jc w:val="both"/>
      </w:pPr>
    </w:p>
    <w:p w14:paraId="55637299" w14:textId="77777777" w:rsidR="00821264" w:rsidRDefault="00821264" w:rsidP="007C423C">
      <w:pPr>
        <w:jc w:val="both"/>
      </w:pPr>
    </w:p>
    <w:p w14:paraId="49E2198C" w14:textId="77777777" w:rsidR="00821264" w:rsidRDefault="00821264" w:rsidP="007C423C">
      <w:pPr>
        <w:jc w:val="both"/>
      </w:pPr>
    </w:p>
    <w:p w14:paraId="0FEA6077" w14:textId="77777777" w:rsidR="00821264" w:rsidRDefault="00821264" w:rsidP="007C423C">
      <w:pPr>
        <w:jc w:val="both"/>
      </w:pPr>
    </w:p>
    <w:p w14:paraId="24B9976A" w14:textId="77777777" w:rsidR="00821264" w:rsidRDefault="00821264" w:rsidP="007C423C">
      <w:pPr>
        <w:jc w:val="both"/>
      </w:pPr>
    </w:p>
    <w:p w14:paraId="3912C09F" w14:textId="77777777" w:rsidR="00821264" w:rsidRDefault="00821264" w:rsidP="007C423C">
      <w:pPr>
        <w:jc w:val="both"/>
      </w:pPr>
    </w:p>
    <w:p w14:paraId="4E41D9C6" w14:textId="77777777" w:rsidR="00821264" w:rsidRDefault="00821264" w:rsidP="007C423C">
      <w:pPr>
        <w:jc w:val="both"/>
      </w:pPr>
    </w:p>
    <w:p w14:paraId="4267E507" w14:textId="77777777" w:rsidR="00821264" w:rsidRDefault="00821264" w:rsidP="007C423C">
      <w:pPr>
        <w:jc w:val="both"/>
      </w:pPr>
    </w:p>
    <w:p w14:paraId="06472ADE" w14:textId="5B4CC1B7" w:rsidR="00D90168" w:rsidRPr="00042710" w:rsidRDefault="00042710" w:rsidP="00D90168">
      <w:pPr>
        <w:rPr>
          <w:rFonts w:ascii="Arial" w:hAnsi="Arial" w:cs="Arial"/>
          <w:sz w:val="15"/>
          <w:szCs w:val="15"/>
        </w:rPr>
      </w:pPr>
      <w:r w:rsidRPr="00042710">
        <w:rPr>
          <w:rFonts w:ascii="Arial" w:hAnsi="Arial" w:cs="Arial"/>
          <w:color w:val="000000"/>
          <w:sz w:val="15"/>
          <w:szCs w:val="15"/>
          <w:lang w:eastAsia="en-AU"/>
        </w:rPr>
        <w:t>Note</w:t>
      </w:r>
      <w:r w:rsidRPr="00042710">
        <w:rPr>
          <w:rFonts w:ascii="Arial" w:hAnsi="Arial" w:cs="Arial"/>
          <w:i/>
          <w:color w:val="000000"/>
          <w:sz w:val="15"/>
          <w:szCs w:val="15"/>
          <w:lang w:eastAsia="en-AU"/>
        </w:rPr>
        <w:t>:</w:t>
      </w:r>
      <w:r w:rsidRPr="00042710">
        <w:rPr>
          <w:rFonts w:ascii="Arial" w:hAnsi="Arial" w:cs="Arial"/>
          <w:color w:val="000000"/>
          <w:sz w:val="15"/>
          <w:szCs w:val="15"/>
          <w:lang w:eastAsia="en-AU"/>
        </w:rPr>
        <w:t xml:space="preserve"> </w:t>
      </w:r>
      <w:r>
        <w:rPr>
          <w:rFonts w:ascii="Arial" w:hAnsi="Arial" w:cs="Arial"/>
          <w:sz w:val="15"/>
          <w:szCs w:val="15"/>
        </w:rPr>
        <w:t>*Statistically different at p = .05 between males and females</w:t>
      </w:r>
    </w:p>
    <w:p w14:paraId="67E9570B" w14:textId="34DAD290" w:rsidR="007C423C" w:rsidRDefault="007C423C" w:rsidP="00821264">
      <w:pPr>
        <w:pStyle w:val="Text"/>
      </w:pPr>
      <w:r>
        <w:t xml:space="preserve">Of 14.7% </w:t>
      </w:r>
      <w:r w:rsidR="00232B80">
        <w:t xml:space="preserve">of </w:t>
      </w:r>
      <w:r>
        <w:t>teenage males interested in biology or health</w:t>
      </w:r>
      <w:r w:rsidR="005841F9">
        <w:t>-</w:t>
      </w:r>
      <w:r>
        <w:t>related occupations</w:t>
      </w:r>
      <w:r w:rsidR="005841F9">
        <w:t>,</w:t>
      </w:r>
      <w:r>
        <w:t xml:space="preserve"> only 20% retained the same preference </w:t>
      </w:r>
      <w:r w:rsidR="005841F9">
        <w:t>until</w:t>
      </w:r>
      <w:r>
        <w:t xml:space="preserve"> age 2</w:t>
      </w:r>
      <w:r w:rsidR="00042710">
        <w:t>2</w:t>
      </w:r>
      <w:r>
        <w:t>, but still this was over twice the average preference among males at 23%</w:t>
      </w:r>
      <w:r w:rsidR="00C5444E">
        <w:t>,</w:t>
      </w:r>
      <w:r>
        <w:t xml:space="preserve"> which was only 7.7% of males. Over the next three years 59% of those males kept the same occupation plan, contributing to the overall 6.2% males who still planned to work in biology or health at </w:t>
      </w:r>
      <w:r w:rsidR="00B021CC">
        <w:t xml:space="preserve">the age of </w:t>
      </w:r>
      <w:r>
        <w:t>2</w:t>
      </w:r>
      <w:r w:rsidR="00042710">
        <w:t>5</w:t>
      </w:r>
      <w:r>
        <w:t>. For women</w:t>
      </w:r>
      <w:r w:rsidR="00B021CC">
        <w:t>,</w:t>
      </w:r>
      <w:r>
        <w:t xml:space="preserve"> the exit rates in this expectation pathway were lower, reducing from 27.7% to 16.5% by the age of 2</w:t>
      </w:r>
      <w:r w:rsidR="00042710">
        <w:t>5</w:t>
      </w:r>
      <w:r>
        <w:t xml:space="preserve">, but many females in this group also switched to a non-science occupation, with only 37% retaining their initial plan (which, nevertheless, was significantly higher than 20% of men). Plans stabilised for females between </w:t>
      </w:r>
      <w:r w:rsidR="0074236F">
        <w:t xml:space="preserve">the </w:t>
      </w:r>
      <w:r>
        <w:t xml:space="preserve">ages </w:t>
      </w:r>
      <w:r w:rsidR="0074236F">
        <w:t xml:space="preserve">of </w:t>
      </w:r>
      <w:r>
        <w:t>2</w:t>
      </w:r>
      <w:r w:rsidR="00042710">
        <w:t>2</w:t>
      </w:r>
      <w:r>
        <w:t xml:space="preserve"> and 2</w:t>
      </w:r>
      <w:r w:rsidR="00042710">
        <w:t>5</w:t>
      </w:r>
      <w:r w:rsidR="0074236F">
        <w:t>,</w:t>
      </w:r>
      <w:r>
        <w:t xml:space="preserve"> as 73% of the 18.4% women who wanted a biology- or health-related job at </w:t>
      </w:r>
      <w:r w:rsidR="00C5444E">
        <w:t xml:space="preserve">age </w:t>
      </w:r>
      <w:r>
        <w:t>2</w:t>
      </w:r>
      <w:r w:rsidR="00042710">
        <w:t>2</w:t>
      </w:r>
      <w:r w:rsidR="00385BB8">
        <w:t xml:space="preserve"> years</w:t>
      </w:r>
      <w:r>
        <w:t xml:space="preserve"> still wanted one at </w:t>
      </w:r>
      <w:r w:rsidR="00385BB8">
        <w:t xml:space="preserve">age </w:t>
      </w:r>
      <w:r>
        <w:t>2</w:t>
      </w:r>
      <w:r w:rsidR="00042710">
        <w:t>5</w:t>
      </w:r>
      <w:r w:rsidR="00737D34">
        <w:t xml:space="preserve"> </w:t>
      </w:r>
      <w:r w:rsidR="001462FD">
        <w:t>years</w:t>
      </w:r>
      <w:r>
        <w:t>.</w:t>
      </w:r>
    </w:p>
    <w:p w14:paraId="7DBD3954" w14:textId="46C6F858" w:rsidR="007C423C" w:rsidRDefault="007C423C" w:rsidP="00821264">
      <w:pPr>
        <w:pStyle w:val="Text"/>
      </w:pPr>
      <w:r>
        <w:t>The stability in teenage plans concerning computing and engineering, where males are overrepresented, formed a different pattern. Youth in this pathway also tend to switch to non-science jobs as they get older, but females are more likely than males to abandon this career plan between the ages</w:t>
      </w:r>
      <w:r w:rsidR="00C5444E">
        <w:t xml:space="preserve"> of</w:t>
      </w:r>
      <w:r>
        <w:t xml:space="preserve"> 16 </w:t>
      </w:r>
      <w:r w:rsidR="00C5444E">
        <w:t>and</w:t>
      </w:r>
      <w:r>
        <w:t xml:space="preserve"> 23</w:t>
      </w:r>
      <w:r w:rsidR="00385BB8">
        <w:t xml:space="preserve"> years</w:t>
      </w:r>
      <w:r>
        <w:t xml:space="preserve"> (</w:t>
      </w:r>
      <w:r w:rsidR="00042710">
        <w:t xml:space="preserve">as </w:t>
      </w:r>
      <w:r>
        <w:t>32% of teenage men retain it in contrast to only 19% of females). Later, the exit rates are similar for men and women, as they were in case of the biology and health career plans. Yet, the proportion of women who plan a computing or engineering career, although very low, remains very stable at ages 1</w:t>
      </w:r>
      <w:r w:rsidR="00042710">
        <w:t>5</w:t>
      </w:r>
      <w:r>
        <w:t>, 2</w:t>
      </w:r>
      <w:r w:rsidR="00042710">
        <w:t>2</w:t>
      </w:r>
      <w:r>
        <w:t xml:space="preserve"> and 2</w:t>
      </w:r>
      <w:r w:rsidR="00042710">
        <w:t>5</w:t>
      </w:r>
      <w:r>
        <w:t>. Women switch to non-science but at rates that leave about 4% of them always in this career expectation path. These patter</w:t>
      </w:r>
      <w:r w:rsidR="00964DCA">
        <w:t>n</w:t>
      </w:r>
      <w:r>
        <w:t xml:space="preserve">s raise questions for future research. For instance, what are the key reasons why youth abandon their teenage plans to specialise in </w:t>
      </w:r>
      <w:r>
        <w:lastRenderedPageBreak/>
        <w:t>science? The analyses shown here suggest that interventions at tertiary level to bridge the gender segregation in these science fields come too late, unless their sole goal is to help students who have already started a science degree not to drop out. The real challenge, however, is to raise the supply of science applicants to tertiary institutions and</w:t>
      </w:r>
      <w:r w:rsidR="00C5444E">
        <w:t>,</w:t>
      </w:r>
      <w:r>
        <w:t xml:space="preserve"> particularly</w:t>
      </w:r>
      <w:r w:rsidR="00C5444E">
        <w:t>,</w:t>
      </w:r>
      <w:r>
        <w:t xml:space="preserve"> to encourage more males and females to form an interest in careers in science fields that are atypical for their sex or gender (Sikora 2014b).</w:t>
      </w:r>
    </w:p>
    <w:p w14:paraId="5F4D40C7" w14:textId="77777777" w:rsidR="007C423C" w:rsidRDefault="007C423C" w:rsidP="007C423C">
      <w:pPr>
        <w:pStyle w:val="Heading2"/>
      </w:pPr>
      <w:bookmarkStart w:id="233" w:name="_Toc15048954"/>
      <w:bookmarkStart w:id="234" w:name="_Toc19803967"/>
      <w:r>
        <w:t>Summary</w:t>
      </w:r>
      <w:bookmarkEnd w:id="233"/>
      <w:bookmarkEnd w:id="234"/>
    </w:p>
    <w:p w14:paraId="31BAF679" w14:textId="530C02A7" w:rsidR="007C423C" w:rsidRPr="00700915" w:rsidRDefault="007C423C" w:rsidP="00821264">
      <w:pPr>
        <w:pStyle w:val="Text"/>
      </w:pPr>
      <w:r>
        <w:t xml:space="preserve">While the two decades of LSAY-based research on </w:t>
      </w:r>
      <w:r w:rsidR="00E1283B">
        <w:t xml:space="preserve">the </w:t>
      </w:r>
      <w:r>
        <w:t xml:space="preserve">occupational expectations of </w:t>
      </w:r>
      <w:r w:rsidR="00831E94">
        <w:t xml:space="preserve">young </w:t>
      </w:r>
      <w:r>
        <w:t>Australians delivered many important insights into the role that youth motivation plays in educational and occupational careers and attainments, many questions remain open. Some of them concern the consequences of unreali</w:t>
      </w:r>
      <w:r w:rsidR="009F2540">
        <w:t>s</w:t>
      </w:r>
      <w:r>
        <w:t xml:space="preserve">ed ambitious expectations: </w:t>
      </w:r>
      <w:r w:rsidR="0038262B">
        <w:t>d</w:t>
      </w:r>
      <w:r>
        <w:t xml:space="preserve">o teenagers adjust, or do they suffer if their teenage ambitions remain unrealised? Others </w:t>
      </w:r>
      <w:r w:rsidR="009F2540">
        <w:t>are associated with</w:t>
      </w:r>
      <w:r>
        <w:t xml:space="preserve"> understanding the consequences of talent loss: </w:t>
      </w:r>
      <w:r w:rsidR="0038262B">
        <w:t>d</w:t>
      </w:r>
      <w:r>
        <w:t>o</w:t>
      </w:r>
      <w:r w:rsidR="009F2540">
        <w:t>es</w:t>
      </w:r>
      <w:r>
        <w:t xml:space="preserve"> </w:t>
      </w:r>
      <w:r w:rsidR="00ED79C5">
        <w:t xml:space="preserve">the </w:t>
      </w:r>
      <w:r>
        <w:t>downward adjustment of educational and occupational plans have any serious consequences for youth</w:t>
      </w:r>
      <w:r w:rsidR="00042710">
        <w:t xml:space="preserve"> from lower socioeconomic backgrounds</w:t>
      </w:r>
      <w:r>
        <w:t xml:space="preserve"> who were above-average school achievers? What are the key processes </w:t>
      </w:r>
      <w:r w:rsidR="000D04DC">
        <w:t>that</w:t>
      </w:r>
      <w:r>
        <w:t xml:space="preserve"> sustain </w:t>
      </w:r>
      <w:r w:rsidR="000D04DC">
        <w:t xml:space="preserve">the </w:t>
      </w:r>
      <w:r>
        <w:t>youth focus on professional occupations and what are the key factors that sustain gender segregation</w:t>
      </w:r>
      <w:r w:rsidR="006D15EF">
        <w:t xml:space="preserve"> in</w:t>
      </w:r>
      <w:r>
        <w:t xml:space="preserve"> science-related plans across generations? Finally, what are the best ways to retain youth in science</w:t>
      </w:r>
      <w:r w:rsidR="006D15EF">
        <w:t>-</w:t>
      </w:r>
      <w:r>
        <w:t xml:space="preserve">career pathways? As LSAY data collections on </w:t>
      </w:r>
      <w:r w:rsidR="006D15EF">
        <w:t xml:space="preserve">the </w:t>
      </w:r>
      <w:r>
        <w:t>occupational expectations</w:t>
      </w:r>
      <w:r w:rsidR="006D15EF">
        <w:t xml:space="preserve"> of</w:t>
      </w:r>
      <w:r>
        <w:t xml:space="preserve"> </w:t>
      </w:r>
      <w:r w:rsidR="00C5444E">
        <w:t xml:space="preserve">young </w:t>
      </w:r>
      <w:r>
        <w:t>Australians continue, data on how and why occupational expectations matter in Australia will hopefully provide comprehensive answers to these questions.</w:t>
      </w:r>
    </w:p>
    <w:p w14:paraId="6C8E542D" w14:textId="77777777" w:rsidR="007C423C" w:rsidRDefault="007C423C" w:rsidP="007C423C">
      <w:pPr>
        <w:pStyle w:val="Heading2"/>
      </w:pPr>
      <w:bookmarkStart w:id="235" w:name="_Toc15048955"/>
      <w:bookmarkStart w:id="236" w:name="_Toc19803968"/>
      <w:r>
        <w:t>References</w:t>
      </w:r>
      <w:bookmarkEnd w:id="235"/>
      <w:bookmarkEnd w:id="236"/>
    </w:p>
    <w:p w14:paraId="2B40227B" w14:textId="7854BF50" w:rsidR="007C423C" w:rsidRPr="0074328A" w:rsidRDefault="007C423C" w:rsidP="0010685D">
      <w:pPr>
        <w:pStyle w:val="References"/>
      </w:pPr>
      <w:r>
        <w:t xml:space="preserve">Sikora, J 2014a, </w:t>
      </w:r>
      <w:r w:rsidR="00FD105C">
        <w:t>‘</w:t>
      </w:r>
      <w:r>
        <w:t>Gender gap in school science: are single-sex schools important?</w:t>
      </w:r>
      <w:r w:rsidR="00FD105C">
        <w:t>’</w:t>
      </w:r>
      <w:r>
        <w:rPr>
          <w:i/>
        </w:rPr>
        <w:t>, Sex Roles</w:t>
      </w:r>
      <w:r>
        <w:t>, vol.70, no.9</w:t>
      </w:r>
      <w:r w:rsidR="00FD105C">
        <w:t>−</w:t>
      </w:r>
      <w:r>
        <w:t>10, pp.400</w:t>
      </w:r>
      <w:r w:rsidR="00FD105C">
        <w:t>−</w:t>
      </w:r>
      <w:r>
        <w:t>15.</w:t>
      </w:r>
    </w:p>
    <w:p w14:paraId="5677A452" w14:textId="5B42BEB2" w:rsidR="007C423C" w:rsidRPr="0074328A" w:rsidRDefault="00131D5D" w:rsidP="0010685D">
      <w:pPr>
        <w:pStyle w:val="References"/>
      </w:pPr>
      <w:r>
        <w:t>−−</w:t>
      </w:r>
      <w:r w:rsidR="007C423C">
        <w:t xml:space="preserve">2014b, </w:t>
      </w:r>
      <w:r w:rsidR="007C423C" w:rsidRPr="00831E94">
        <w:rPr>
          <w:i/>
        </w:rPr>
        <w:t>Gendered pathways into the post-secondary study of science</w:t>
      </w:r>
      <w:r w:rsidR="007C423C">
        <w:t>, NCVER, Adelaide</w:t>
      </w:r>
      <w:r>
        <w:t>.</w:t>
      </w:r>
    </w:p>
    <w:p w14:paraId="46E7BD3F" w14:textId="2083062F" w:rsidR="007C423C" w:rsidRPr="00E85242" w:rsidRDefault="00282043" w:rsidP="0010685D">
      <w:pPr>
        <w:pStyle w:val="References"/>
      </w:pPr>
      <w:r>
        <w:t>−−</w:t>
      </w:r>
      <w:r w:rsidR="007C423C">
        <w:t xml:space="preserve">2015, </w:t>
      </w:r>
      <w:r w:rsidR="00C5444E">
        <w:t>‘</w:t>
      </w:r>
      <w:r w:rsidR="007C423C">
        <w:t xml:space="preserve">Gender segregation in Australian science education: contrasting post-secondary </w:t>
      </w:r>
      <w:r>
        <w:t>VET</w:t>
      </w:r>
      <w:r w:rsidR="007C423C">
        <w:t xml:space="preserve"> with university</w:t>
      </w:r>
      <w:r w:rsidR="00C5444E">
        <w:t>’</w:t>
      </w:r>
      <w:r w:rsidR="007C423C">
        <w:t xml:space="preserve">, in </w:t>
      </w:r>
      <w:r>
        <w:t xml:space="preserve">C </w:t>
      </w:r>
      <w:proofErr w:type="spellStart"/>
      <w:r>
        <w:t>Imdorf</w:t>
      </w:r>
      <w:proofErr w:type="spellEnd"/>
      <w:r>
        <w:t xml:space="preserve">, K </w:t>
      </w:r>
      <w:proofErr w:type="spellStart"/>
      <w:r>
        <w:t>Hegna</w:t>
      </w:r>
      <w:proofErr w:type="spellEnd"/>
      <w:r>
        <w:t xml:space="preserve"> &amp; L </w:t>
      </w:r>
      <w:proofErr w:type="spellStart"/>
      <w:r>
        <w:t>Reisel</w:t>
      </w:r>
      <w:proofErr w:type="spellEnd"/>
      <w:r>
        <w:t xml:space="preserve"> (eds), </w:t>
      </w:r>
      <w:r w:rsidR="007C423C">
        <w:rPr>
          <w:i/>
        </w:rPr>
        <w:t>Comparative social research: gender segregation in vocational education</w:t>
      </w:r>
      <w:r w:rsidR="007C423C">
        <w:t>, Emerald, Bingley, UK, pp.263</w:t>
      </w:r>
      <w:r w:rsidR="000771EB">
        <w:t>−</w:t>
      </w:r>
      <w:r w:rsidR="007C423C">
        <w:t>89.</w:t>
      </w:r>
    </w:p>
    <w:p w14:paraId="43540376" w14:textId="32AA13D4" w:rsidR="007C423C" w:rsidRPr="00572662" w:rsidRDefault="00131D5D" w:rsidP="0010685D">
      <w:pPr>
        <w:pStyle w:val="References"/>
      </w:pPr>
      <w:r>
        <w:t>−−</w:t>
      </w:r>
      <w:r w:rsidR="007C423C">
        <w:t xml:space="preserve">2018, </w:t>
      </w:r>
      <w:r w:rsidR="00C5444E">
        <w:t>‘</w:t>
      </w:r>
      <w:r w:rsidR="007C423C">
        <w:t>Aimless or flexible? Does uncertainty in adolescent occupational expectations matter in young adulthood?</w:t>
      </w:r>
      <w:r w:rsidR="00C5444E">
        <w:t>’</w:t>
      </w:r>
      <w:r w:rsidR="008C468C">
        <w:t>,</w:t>
      </w:r>
      <w:r w:rsidR="007C423C">
        <w:t xml:space="preserve"> </w:t>
      </w:r>
      <w:r w:rsidR="007C423C">
        <w:rPr>
          <w:i/>
        </w:rPr>
        <w:t>Australian Journal of Education</w:t>
      </w:r>
      <w:r w:rsidR="007C423C">
        <w:t>, vol.62, no.2, pp.154</w:t>
      </w:r>
      <w:r w:rsidR="008C468C">
        <w:t>−</w:t>
      </w:r>
      <w:r w:rsidR="007C423C">
        <w:t>68.</w:t>
      </w:r>
    </w:p>
    <w:p w14:paraId="218F90B0" w14:textId="1625AADC" w:rsidR="00D90168" w:rsidRPr="00D90168" w:rsidRDefault="00D90168" w:rsidP="0010685D">
      <w:pPr>
        <w:pStyle w:val="References"/>
      </w:pPr>
      <w:r>
        <w:t xml:space="preserve">--2019, ‘Is it all about early occupational expectations? How the gender gap in two science domains reproduces itself at subsequent stages of education: Evidence from longitudinal PISA in Australia. </w:t>
      </w:r>
      <w:r>
        <w:rPr>
          <w:i/>
        </w:rPr>
        <w:t>International Journal of Science Education</w:t>
      </w:r>
      <w:r>
        <w:t>, 1-22.</w:t>
      </w:r>
    </w:p>
    <w:p w14:paraId="09159D16" w14:textId="30DCCC1F" w:rsidR="007C423C" w:rsidRPr="00A039B5" w:rsidRDefault="007C423C" w:rsidP="0010685D">
      <w:pPr>
        <w:pStyle w:val="References"/>
      </w:pPr>
      <w:r>
        <w:t xml:space="preserve">Sikora, J &amp; Biddle, N 2015, </w:t>
      </w:r>
      <w:r w:rsidR="008C468C">
        <w:t>‘</w:t>
      </w:r>
      <w:r>
        <w:t xml:space="preserve">How gendered is ambition? Educational and occupational plans of </w:t>
      </w:r>
      <w:r w:rsidR="008C468C">
        <w:t>I</w:t>
      </w:r>
      <w:r>
        <w:t>ndigenous youth in Australia</w:t>
      </w:r>
      <w:r w:rsidR="008C468C">
        <w:t>’</w:t>
      </w:r>
      <w:r>
        <w:t xml:space="preserve">, </w:t>
      </w:r>
      <w:r>
        <w:rPr>
          <w:i/>
        </w:rPr>
        <w:t>International Journal of Educational Development</w:t>
      </w:r>
      <w:r>
        <w:t>, vol</w:t>
      </w:r>
      <w:r w:rsidR="008C468C">
        <w:t>.</w:t>
      </w:r>
      <w:r>
        <w:t>42, pp.1</w:t>
      </w:r>
      <w:r w:rsidR="008C468C">
        <w:t>−</w:t>
      </w:r>
      <w:r>
        <w:t>13.</w:t>
      </w:r>
    </w:p>
    <w:p w14:paraId="1D3818F4" w14:textId="0DC18B58" w:rsidR="007C423C" w:rsidRPr="00A039B5" w:rsidRDefault="007C423C" w:rsidP="0010685D">
      <w:pPr>
        <w:pStyle w:val="References"/>
      </w:pPr>
      <w:r>
        <w:t xml:space="preserve">Sikora, J &amp; </w:t>
      </w:r>
      <w:proofErr w:type="spellStart"/>
      <w:r>
        <w:t>Pokropek</w:t>
      </w:r>
      <w:proofErr w:type="spellEnd"/>
      <w:r>
        <w:t xml:space="preserve">, A 2012, </w:t>
      </w:r>
      <w:r w:rsidR="008C468C">
        <w:t>‘</w:t>
      </w:r>
      <w:r>
        <w:t>Gender segregation of adolescent science career plans in 50 countries</w:t>
      </w:r>
      <w:r w:rsidR="008C468C">
        <w:t>’</w:t>
      </w:r>
      <w:r>
        <w:t xml:space="preserve">, </w:t>
      </w:r>
      <w:r>
        <w:rPr>
          <w:i/>
        </w:rPr>
        <w:t>Science Education</w:t>
      </w:r>
      <w:r>
        <w:t>, vol.96, no.2, pp.234</w:t>
      </w:r>
      <w:r w:rsidR="008C468C">
        <w:t>−</w:t>
      </w:r>
      <w:r>
        <w:t>64.</w:t>
      </w:r>
    </w:p>
    <w:p w14:paraId="131ECB0B" w14:textId="31DFB41B" w:rsidR="007C423C" w:rsidRDefault="007C423C" w:rsidP="0010685D">
      <w:pPr>
        <w:pStyle w:val="References"/>
      </w:pPr>
      <w:r>
        <w:t xml:space="preserve">Sikora, J &amp; </w:t>
      </w:r>
      <w:proofErr w:type="spellStart"/>
      <w:r>
        <w:t>Saha</w:t>
      </w:r>
      <w:proofErr w:type="spellEnd"/>
      <w:r>
        <w:t xml:space="preserve">, L 2011, </w:t>
      </w:r>
      <w:r w:rsidRPr="00831E94">
        <w:rPr>
          <w:i/>
        </w:rPr>
        <w:t>Lost talent? The occupational ambitions and attainments of young Australians</w:t>
      </w:r>
      <w:r>
        <w:t>, NCVER, Adelaide.</w:t>
      </w:r>
      <w:r>
        <w:br w:type="page"/>
      </w:r>
    </w:p>
    <w:p w14:paraId="03902C3F" w14:textId="04D557BC" w:rsidR="006170B7" w:rsidRDefault="00031BA3" w:rsidP="00E612BF">
      <w:pPr>
        <w:pStyle w:val="Heading1"/>
      </w:pPr>
      <w:bookmarkStart w:id="237" w:name="_Toc19803969"/>
      <w:r w:rsidRPr="00031BA3">
        <w:lastRenderedPageBreak/>
        <w:t>Who takes a gap year and why?</w:t>
      </w:r>
      <w:bookmarkEnd w:id="237"/>
    </w:p>
    <w:p w14:paraId="4CFE1BA4" w14:textId="6DA88784" w:rsidR="006170B7" w:rsidRPr="00831E94" w:rsidRDefault="006170B7" w:rsidP="006C6031">
      <w:pPr>
        <w:pStyle w:val="Text"/>
        <w:rPr>
          <w:i/>
          <w:sz w:val="22"/>
          <w:szCs w:val="22"/>
        </w:rPr>
      </w:pPr>
      <w:r w:rsidRPr="00831E94">
        <w:rPr>
          <w:i/>
          <w:sz w:val="22"/>
          <w:szCs w:val="22"/>
        </w:rPr>
        <w:t>John Stanwick, N</w:t>
      </w:r>
      <w:r w:rsidR="00C5444E">
        <w:rPr>
          <w:i/>
          <w:sz w:val="22"/>
          <w:szCs w:val="22"/>
        </w:rPr>
        <w:t>CVER</w:t>
      </w:r>
    </w:p>
    <w:p w14:paraId="4B77499B" w14:textId="43B04A8B" w:rsidR="006170B7" w:rsidRDefault="006170B7" w:rsidP="006C6031">
      <w:pPr>
        <w:pStyle w:val="Text"/>
      </w:pPr>
      <w:r>
        <w:rPr>
          <w:i/>
        </w:rPr>
        <w:t xml:space="preserve">The analyses in this section have been drawn from a 2012 NCVER briefing paper </w:t>
      </w:r>
      <w:r w:rsidR="00962DD7">
        <w:rPr>
          <w:i/>
        </w:rPr>
        <w:t xml:space="preserve">by </w:t>
      </w:r>
      <w:r w:rsidR="002823C3">
        <w:rPr>
          <w:i/>
        </w:rPr>
        <w:t xml:space="preserve">M </w:t>
      </w:r>
      <w:r>
        <w:rPr>
          <w:i/>
        </w:rPr>
        <w:t xml:space="preserve">Lumsden </w:t>
      </w:r>
      <w:r w:rsidR="00962DD7">
        <w:rPr>
          <w:i/>
        </w:rPr>
        <w:t>and</w:t>
      </w:r>
      <w:r w:rsidR="002823C3">
        <w:rPr>
          <w:i/>
        </w:rPr>
        <w:t xml:space="preserve"> J</w:t>
      </w:r>
      <w:r>
        <w:rPr>
          <w:i/>
        </w:rPr>
        <w:t xml:space="preserve"> Stanwick</w:t>
      </w:r>
      <w:r w:rsidR="00C5444E">
        <w:rPr>
          <w:i/>
        </w:rPr>
        <w:t xml:space="preserve">, entitled </w:t>
      </w:r>
      <w:r w:rsidR="00C5444E" w:rsidRPr="00C5444E">
        <w:t>Who takes a gap year and why?</w:t>
      </w:r>
      <w:r>
        <w:rPr>
          <w:i/>
        </w:rPr>
        <w:t xml:space="preserve"> The analyses in that briefing paper, in turn, were drawn to a large extent from a </w:t>
      </w:r>
      <w:r w:rsidR="00AC7CCB">
        <w:rPr>
          <w:i/>
        </w:rPr>
        <w:t>2012</w:t>
      </w:r>
      <w:r w:rsidR="00C5444E">
        <w:rPr>
          <w:i/>
        </w:rPr>
        <w:t xml:space="preserve"> NCVER</w:t>
      </w:r>
      <w:r w:rsidR="00AC7CCB">
        <w:rPr>
          <w:i/>
        </w:rPr>
        <w:t xml:space="preserve"> </w:t>
      </w:r>
      <w:r>
        <w:rPr>
          <w:i/>
        </w:rPr>
        <w:t xml:space="preserve">report by </w:t>
      </w:r>
      <w:r w:rsidR="002823C3">
        <w:rPr>
          <w:i/>
        </w:rPr>
        <w:t xml:space="preserve">D </w:t>
      </w:r>
      <w:r>
        <w:rPr>
          <w:i/>
        </w:rPr>
        <w:t xml:space="preserve">Curtis, </w:t>
      </w:r>
      <w:r w:rsidR="002823C3">
        <w:rPr>
          <w:i/>
        </w:rPr>
        <w:t xml:space="preserve">P </w:t>
      </w:r>
      <w:proofErr w:type="spellStart"/>
      <w:r>
        <w:rPr>
          <w:i/>
        </w:rPr>
        <w:t>Mlotkowski</w:t>
      </w:r>
      <w:proofErr w:type="spellEnd"/>
      <w:r>
        <w:rPr>
          <w:i/>
        </w:rPr>
        <w:t xml:space="preserve"> and </w:t>
      </w:r>
      <w:r w:rsidR="002823C3">
        <w:rPr>
          <w:i/>
        </w:rPr>
        <w:t xml:space="preserve">M </w:t>
      </w:r>
      <w:r>
        <w:rPr>
          <w:i/>
        </w:rPr>
        <w:t>Lumsden</w:t>
      </w:r>
      <w:r w:rsidR="002823C3">
        <w:rPr>
          <w:i/>
        </w:rPr>
        <w:t xml:space="preserve">, entitled </w:t>
      </w:r>
      <w:r w:rsidR="002823C3" w:rsidRPr="002823C3">
        <w:rPr>
          <w:iCs/>
        </w:rPr>
        <w:t>Bridging the gap: who takes a gap year and why?</w:t>
      </w:r>
    </w:p>
    <w:p w14:paraId="3A4F8FC8" w14:textId="00EDB88C" w:rsidR="006170B7" w:rsidRDefault="006170B7" w:rsidP="006C6031">
      <w:pPr>
        <w:pStyle w:val="Text"/>
      </w:pPr>
      <w:r>
        <w:t>Taking a gap year, that is a break between finishing school and starting university, is an increasingly popular choice among young people. There is also an increasing number of activities that young people undertake during their gap year. While it was originally a break between finishing school and commencing university, it now involves a wide variety of (structured) activities</w:t>
      </w:r>
      <w:r w:rsidR="00AC7CCB">
        <w:t>,</w:t>
      </w:r>
      <w:r>
        <w:t xml:space="preserve"> including travel, volunteering, military service, employment and non-university study.</w:t>
      </w:r>
    </w:p>
    <w:p w14:paraId="194BC8A5" w14:textId="6498D757" w:rsidR="006170B7" w:rsidRDefault="00B87EE3" w:rsidP="006C6031">
      <w:pPr>
        <w:pStyle w:val="Text"/>
      </w:pPr>
      <w:r>
        <w:t>A</w:t>
      </w:r>
      <w:r w:rsidR="006170B7">
        <w:t xml:space="preserve"> few conceptual issues surround the term ‘gap year’</w:t>
      </w:r>
      <w:r w:rsidR="00F67440">
        <w:t>,</w:t>
      </w:r>
      <w:r w:rsidR="006170B7">
        <w:t xml:space="preserve"> in terms of its length, its intention, the age group </w:t>
      </w:r>
      <w:r w:rsidR="00F67440">
        <w:t xml:space="preserve">to which </w:t>
      </w:r>
      <w:r w:rsidR="006170B7">
        <w:t xml:space="preserve">it is intended to apply, and </w:t>
      </w:r>
      <w:r w:rsidR="00F67440">
        <w:t xml:space="preserve">the </w:t>
      </w:r>
      <w:r w:rsidR="006170B7">
        <w:t xml:space="preserve">routes to and from the gap year. This has led to several definitions of </w:t>
      </w:r>
      <w:r w:rsidR="00B61A85">
        <w:t>‘</w:t>
      </w:r>
      <w:r w:rsidR="006170B7">
        <w:t>gap year</w:t>
      </w:r>
      <w:r w:rsidR="00B61A85">
        <w:t>’</w:t>
      </w:r>
      <w:r w:rsidR="006170B7">
        <w:t xml:space="preserve"> within the literature. However, for the purposes of meaningful comparisons to inform policy, a tight definition</w:t>
      </w:r>
      <w:r w:rsidR="00F67440">
        <w:t xml:space="preserve"> is more useful</w:t>
      </w:r>
      <w:r w:rsidR="006170B7">
        <w:t xml:space="preserve">. Curtis, </w:t>
      </w:r>
      <w:proofErr w:type="spellStart"/>
      <w:r w:rsidR="006170B7">
        <w:t>Mlotkowski</w:t>
      </w:r>
      <w:proofErr w:type="spellEnd"/>
      <w:r w:rsidR="006170B7">
        <w:t xml:space="preserve"> and Lumsden (2012) use the following definition for their analyses:</w:t>
      </w:r>
    </w:p>
    <w:p w14:paraId="0B5D2561" w14:textId="77777777" w:rsidR="006170B7" w:rsidRDefault="006170B7" w:rsidP="006C6031">
      <w:pPr>
        <w:pStyle w:val="Text"/>
      </w:pPr>
      <w:r>
        <w:rPr>
          <w:i/>
        </w:rPr>
        <w:t>An individual who commenced university one to two years after completing Year 12. This includes those who accept and defer their university placement for one to two years.</w:t>
      </w:r>
    </w:p>
    <w:p w14:paraId="0F6FC000" w14:textId="4FBA48DD" w:rsidR="006170B7" w:rsidRDefault="006170B7" w:rsidP="006C6031">
      <w:pPr>
        <w:pStyle w:val="Text"/>
      </w:pPr>
      <w:r>
        <w:t xml:space="preserve">The data for the analyses have been taken from four cohorts of </w:t>
      </w:r>
      <w:r w:rsidR="00256350">
        <w:t>the Longitudinal Surveys of Australian Youth</w:t>
      </w:r>
      <w:r w:rsidR="00EE7303">
        <w:t xml:space="preserve"> (</w:t>
      </w:r>
      <w:r>
        <w:t>LSAY</w:t>
      </w:r>
      <w:r w:rsidR="00EE7303">
        <w:t xml:space="preserve">) – Y95, </w:t>
      </w:r>
      <w:r>
        <w:t>Y98, Y03 and Y06. Prior to 2008, information on gap taking was inferred from activities undertaken after completing Year 12, rather than being explicitly asked in the LSAY questionnaires. However, since 2008, respondents in the relevant cohorts have been explicitly asked whether their main activity after completing Year 12 was taking a gap year.</w:t>
      </w:r>
    </w:p>
    <w:p w14:paraId="4D257799" w14:textId="6B09DE04" w:rsidR="006170B7" w:rsidRDefault="006170B7" w:rsidP="006170B7">
      <w:pPr>
        <w:pStyle w:val="Heading2"/>
      </w:pPr>
      <w:bookmarkStart w:id="238" w:name="_Toc15048957"/>
      <w:bookmarkStart w:id="239" w:name="_Toc19803970"/>
      <w:r>
        <w:t>Incidence of gap</w:t>
      </w:r>
      <w:r w:rsidR="00BA04FF">
        <w:t>-</w:t>
      </w:r>
      <w:r>
        <w:t>year taking</w:t>
      </w:r>
      <w:bookmarkEnd w:id="238"/>
      <w:bookmarkEnd w:id="239"/>
    </w:p>
    <w:p w14:paraId="3169F9E1" w14:textId="7D980DB4" w:rsidR="006170B7" w:rsidRDefault="006170B7" w:rsidP="006C6031">
      <w:pPr>
        <w:pStyle w:val="Text"/>
      </w:pPr>
      <w:r>
        <w:t>The incidence of gap</w:t>
      </w:r>
      <w:r w:rsidR="00BA04FF">
        <w:t>-</w:t>
      </w:r>
      <w:r>
        <w:t xml:space="preserve">year taking has been on the rise over time. Examining information across the LSAY cohorts (using the definition by Curtis, </w:t>
      </w:r>
      <w:proofErr w:type="spellStart"/>
      <w:r>
        <w:t>Mlotkowski</w:t>
      </w:r>
      <w:proofErr w:type="spellEnd"/>
      <w:r>
        <w:t xml:space="preserve"> &amp; Lumsden 2012)</w:t>
      </w:r>
      <w:r w:rsidR="00190E07">
        <w:t>,</w:t>
      </w:r>
      <w:r>
        <w:t xml:space="preserve"> </w:t>
      </w:r>
      <w:r w:rsidR="00190E07">
        <w:t>t</w:t>
      </w:r>
      <w:r>
        <w:t>able 1</w:t>
      </w:r>
      <w:r w:rsidR="00DB7F76">
        <w:t>9</w:t>
      </w:r>
      <w:r>
        <w:t xml:space="preserve"> shows that</w:t>
      </w:r>
      <w:r w:rsidR="00190E07">
        <w:t>,</w:t>
      </w:r>
      <w:r>
        <w:t xml:space="preserve"> while 10% of school leavers who went on to university in 1999</w:t>
      </w:r>
      <w:r w:rsidR="00190E07">
        <w:t>−</w:t>
      </w:r>
      <w:r>
        <w:t>2000 took a gap year, this had risen to 25% in 2006</w:t>
      </w:r>
      <w:r w:rsidR="00190E07">
        <w:t>−</w:t>
      </w:r>
      <w:r>
        <w:t>07 and 24% in 2009</w:t>
      </w:r>
      <w:r w:rsidR="00190E07">
        <w:t>−</w:t>
      </w:r>
      <w:r>
        <w:t>10.</w:t>
      </w:r>
    </w:p>
    <w:p w14:paraId="3F12822C" w14:textId="77777777" w:rsidR="0010685D" w:rsidRDefault="0010685D" w:rsidP="0010685D">
      <w:pPr>
        <w:pStyle w:val="tabletitle0"/>
        <w:sectPr w:rsidR="0010685D" w:rsidSect="0010685D">
          <w:pgSz w:w="11907" w:h="16840" w:code="9"/>
          <w:pgMar w:top="1276" w:right="2552" w:bottom="851" w:left="1418" w:header="709" w:footer="556" w:gutter="0"/>
          <w:cols w:space="708"/>
          <w:docGrid w:linePitch="360"/>
        </w:sectPr>
      </w:pPr>
    </w:p>
    <w:p w14:paraId="49A409A6" w14:textId="0DCF4F37" w:rsidR="006170B7" w:rsidRPr="00C775E1" w:rsidRDefault="006170B7" w:rsidP="0010685D">
      <w:pPr>
        <w:pStyle w:val="tabletitle0"/>
      </w:pPr>
      <w:bookmarkStart w:id="240" w:name="_Toc19001676"/>
      <w:r w:rsidRPr="00C775E1">
        <w:lastRenderedPageBreak/>
        <w:t xml:space="preserve">Table </w:t>
      </w:r>
      <w:r w:rsidR="00DB7F76">
        <w:t>19</w:t>
      </w:r>
      <w:r w:rsidR="00DB7F76" w:rsidRPr="00C775E1">
        <w:t xml:space="preserve"> </w:t>
      </w:r>
      <w:r w:rsidR="002302E9">
        <w:tab/>
      </w:r>
      <w:r w:rsidRPr="00C775E1">
        <w:t>Gap</w:t>
      </w:r>
      <w:r w:rsidR="00BA04FF">
        <w:t>-</w:t>
      </w:r>
      <w:r w:rsidRPr="00C775E1">
        <w:t>year taking over time by study status (%)</w:t>
      </w:r>
      <w:bookmarkEnd w:id="240"/>
    </w:p>
    <w:tbl>
      <w:tblPr>
        <w:tblStyle w:val="TableGrid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00" w:firstRow="0" w:lastRow="0" w:firstColumn="0" w:lastColumn="0" w:noHBand="0" w:noVBand="0"/>
      </w:tblPr>
      <w:tblGrid>
        <w:gridCol w:w="1610"/>
        <w:gridCol w:w="1608"/>
        <w:gridCol w:w="1573"/>
        <w:gridCol w:w="1573"/>
        <w:gridCol w:w="1573"/>
      </w:tblGrid>
      <w:tr w:rsidR="006C6031" w:rsidRPr="00C775E1" w14:paraId="4EB9D4CE" w14:textId="77777777" w:rsidTr="006C6031">
        <w:tc>
          <w:tcPr>
            <w:tcW w:w="1755" w:type="dxa"/>
            <w:tcBorders>
              <w:top w:val="single" w:sz="4" w:space="0" w:color="auto"/>
              <w:bottom w:val="single" w:sz="4" w:space="0" w:color="auto"/>
            </w:tcBorders>
          </w:tcPr>
          <w:p w14:paraId="35130823" w14:textId="1EC861D8" w:rsidR="006170B7" w:rsidRPr="006C6031" w:rsidRDefault="006170B7" w:rsidP="006C6031">
            <w:pPr>
              <w:pStyle w:val="Tabletext"/>
              <w:rPr>
                <w:b/>
              </w:rPr>
            </w:pPr>
            <w:r w:rsidRPr="006C6031">
              <w:rPr>
                <w:b/>
              </w:rPr>
              <w:t>Gap</w:t>
            </w:r>
            <w:r w:rsidR="00190E07">
              <w:rPr>
                <w:b/>
              </w:rPr>
              <w:t>-</w:t>
            </w:r>
            <w:r w:rsidRPr="006C6031">
              <w:rPr>
                <w:b/>
              </w:rPr>
              <w:t>taking status</w:t>
            </w:r>
          </w:p>
        </w:tc>
        <w:tc>
          <w:tcPr>
            <w:tcW w:w="7023" w:type="dxa"/>
            <w:gridSpan w:val="4"/>
            <w:tcBorders>
              <w:top w:val="single" w:sz="4" w:space="0" w:color="auto"/>
              <w:bottom w:val="single" w:sz="4" w:space="0" w:color="auto"/>
            </w:tcBorders>
          </w:tcPr>
          <w:p w14:paraId="362BF098" w14:textId="77777777" w:rsidR="006170B7" w:rsidRPr="006C6031" w:rsidRDefault="006170B7" w:rsidP="0091784F">
            <w:pPr>
              <w:pStyle w:val="Tabletext"/>
              <w:jc w:val="center"/>
              <w:rPr>
                <w:b/>
              </w:rPr>
            </w:pPr>
            <w:r w:rsidRPr="006C6031">
              <w:rPr>
                <w:b/>
              </w:rPr>
              <w:t>Gap-taking years</w:t>
            </w:r>
          </w:p>
        </w:tc>
      </w:tr>
      <w:tr w:rsidR="006C6031" w:rsidRPr="00C775E1" w14:paraId="70AD2A6E" w14:textId="77777777" w:rsidTr="006C6031">
        <w:tc>
          <w:tcPr>
            <w:tcW w:w="1755" w:type="dxa"/>
            <w:tcBorders>
              <w:top w:val="single" w:sz="4" w:space="0" w:color="auto"/>
            </w:tcBorders>
          </w:tcPr>
          <w:p w14:paraId="4A25B7A8" w14:textId="77777777" w:rsidR="006170B7" w:rsidRPr="00C775E1" w:rsidRDefault="006170B7" w:rsidP="006C6031">
            <w:pPr>
              <w:pStyle w:val="Tabletext"/>
              <w:rPr>
                <w:rFonts w:ascii="Trebuchet MS" w:hAnsi="Trebuchet MS"/>
              </w:rPr>
            </w:pPr>
          </w:p>
        </w:tc>
        <w:tc>
          <w:tcPr>
            <w:tcW w:w="1755" w:type="dxa"/>
            <w:tcBorders>
              <w:top w:val="single" w:sz="4" w:space="0" w:color="auto"/>
            </w:tcBorders>
          </w:tcPr>
          <w:p w14:paraId="24037330" w14:textId="2482D98E" w:rsidR="006170B7" w:rsidRPr="00C775E1" w:rsidRDefault="006170B7" w:rsidP="006C6031">
            <w:pPr>
              <w:pStyle w:val="Tabletext"/>
              <w:rPr>
                <w:rFonts w:ascii="Tahoma" w:hAnsi="Tahoma"/>
              </w:rPr>
            </w:pPr>
            <w:r w:rsidRPr="00C775E1">
              <w:rPr>
                <w:rFonts w:ascii="Tahoma" w:hAnsi="Tahoma"/>
              </w:rPr>
              <w:t>1999</w:t>
            </w:r>
            <w:r w:rsidR="00C63E27">
              <w:rPr>
                <w:rFonts w:ascii="Tahoma" w:hAnsi="Tahoma" w:cs="Tahoma"/>
              </w:rPr>
              <w:t>−</w:t>
            </w:r>
            <w:r w:rsidRPr="00C775E1">
              <w:rPr>
                <w:rFonts w:ascii="Tahoma" w:hAnsi="Tahoma"/>
              </w:rPr>
              <w:t>2000</w:t>
            </w:r>
          </w:p>
        </w:tc>
        <w:tc>
          <w:tcPr>
            <w:tcW w:w="1756" w:type="dxa"/>
            <w:tcBorders>
              <w:top w:val="single" w:sz="4" w:space="0" w:color="auto"/>
            </w:tcBorders>
          </w:tcPr>
          <w:p w14:paraId="3366B308" w14:textId="3D19E1BF" w:rsidR="006170B7" w:rsidRPr="00C775E1" w:rsidRDefault="006170B7" w:rsidP="006C6031">
            <w:pPr>
              <w:pStyle w:val="Tabletext"/>
              <w:rPr>
                <w:rFonts w:ascii="Tahoma" w:hAnsi="Tahoma"/>
              </w:rPr>
            </w:pPr>
            <w:r w:rsidRPr="00C775E1">
              <w:rPr>
                <w:rFonts w:ascii="Tahoma" w:hAnsi="Tahoma"/>
              </w:rPr>
              <w:t>2002</w:t>
            </w:r>
            <w:r w:rsidR="00C63E27">
              <w:rPr>
                <w:rFonts w:ascii="Tahoma" w:hAnsi="Tahoma" w:cs="Tahoma"/>
              </w:rPr>
              <w:t>−</w:t>
            </w:r>
            <w:r w:rsidRPr="00C775E1">
              <w:rPr>
                <w:rFonts w:ascii="Tahoma" w:hAnsi="Tahoma"/>
              </w:rPr>
              <w:t>03</w:t>
            </w:r>
          </w:p>
        </w:tc>
        <w:tc>
          <w:tcPr>
            <w:tcW w:w="1756" w:type="dxa"/>
            <w:tcBorders>
              <w:top w:val="single" w:sz="4" w:space="0" w:color="auto"/>
            </w:tcBorders>
          </w:tcPr>
          <w:p w14:paraId="05EF1566" w14:textId="44F7CECB" w:rsidR="006170B7" w:rsidRPr="00C775E1" w:rsidRDefault="006170B7" w:rsidP="006C6031">
            <w:pPr>
              <w:pStyle w:val="Tabletext"/>
              <w:rPr>
                <w:rFonts w:ascii="Tahoma" w:hAnsi="Tahoma"/>
              </w:rPr>
            </w:pPr>
            <w:r w:rsidRPr="00C775E1">
              <w:rPr>
                <w:rFonts w:ascii="Tahoma" w:hAnsi="Tahoma"/>
              </w:rPr>
              <w:t>2006</w:t>
            </w:r>
            <w:r w:rsidR="00C63E27">
              <w:rPr>
                <w:rFonts w:ascii="Tahoma" w:hAnsi="Tahoma" w:cs="Tahoma"/>
              </w:rPr>
              <w:t>−</w:t>
            </w:r>
            <w:r w:rsidRPr="00C775E1">
              <w:rPr>
                <w:rFonts w:ascii="Tahoma" w:hAnsi="Tahoma"/>
              </w:rPr>
              <w:t>07</w:t>
            </w:r>
          </w:p>
        </w:tc>
        <w:tc>
          <w:tcPr>
            <w:tcW w:w="1756" w:type="dxa"/>
            <w:tcBorders>
              <w:top w:val="single" w:sz="4" w:space="0" w:color="auto"/>
            </w:tcBorders>
          </w:tcPr>
          <w:p w14:paraId="40149537" w14:textId="4D057D3F" w:rsidR="006170B7" w:rsidRPr="00C775E1" w:rsidRDefault="006170B7" w:rsidP="006C6031">
            <w:pPr>
              <w:pStyle w:val="Tabletext"/>
              <w:rPr>
                <w:rFonts w:ascii="Tahoma" w:hAnsi="Tahoma"/>
              </w:rPr>
            </w:pPr>
            <w:r w:rsidRPr="00C775E1">
              <w:rPr>
                <w:rFonts w:ascii="Tahoma" w:hAnsi="Tahoma"/>
              </w:rPr>
              <w:t>2009</w:t>
            </w:r>
            <w:r w:rsidR="00C63E27">
              <w:rPr>
                <w:rFonts w:ascii="Tahoma" w:hAnsi="Tahoma" w:cs="Tahoma"/>
              </w:rPr>
              <w:t>−</w:t>
            </w:r>
            <w:r w:rsidRPr="00C775E1">
              <w:rPr>
                <w:rFonts w:ascii="Tahoma" w:hAnsi="Tahoma"/>
              </w:rPr>
              <w:t>10</w:t>
            </w:r>
          </w:p>
        </w:tc>
      </w:tr>
      <w:tr w:rsidR="006C6031" w:rsidRPr="00C775E1" w14:paraId="6240999D" w14:textId="77777777" w:rsidTr="006C6031">
        <w:tc>
          <w:tcPr>
            <w:tcW w:w="1755" w:type="dxa"/>
          </w:tcPr>
          <w:p w14:paraId="3E41BACB" w14:textId="77777777" w:rsidR="006170B7" w:rsidRPr="00C775E1" w:rsidRDefault="006170B7" w:rsidP="006C6031">
            <w:pPr>
              <w:pStyle w:val="Tabletext"/>
            </w:pPr>
            <w:r w:rsidRPr="00C775E1">
              <w:t xml:space="preserve">No </w:t>
            </w:r>
            <w:proofErr w:type="spellStart"/>
            <w:r w:rsidRPr="00C775E1">
              <w:t>gap</w:t>
            </w:r>
            <w:r w:rsidRPr="00C775E1">
              <w:rPr>
                <w:vertAlign w:val="superscript"/>
              </w:rPr>
              <w:t>a</w:t>
            </w:r>
            <w:proofErr w:type="spellEnd"/>
          </w:p>
        </w:tc>
        <w:tc>
          <w:tcPr>
            <w:tcW w:w="1755" w:type="dxa"/>
          </w:tcPr>
          <w:p w14:paraId="7AA7C8E5" w14:textId="77777777" w:rsidR="006170B7" w:rsidRPr="00C775E1" w:rsidRDefault="006170B7" w:rsidP="006C6031">
            <w:pPr>
              <w:pStyle w:val="Tabletext"/>
            </w:pPr>
            <w:r w:rsidRPr="00C775E1">
              <w:t>85</w:t>
            </w:r>
          </w:p>
        </w:tc>
        <w:tc>
          <w:tcPr>
            <w:tcW w:w="1756" w:type="dxa"/>
          </w:tcPr>
          <w:p w14:paraId="11D30084" w14:textId="77777777" w:rsidR="006170B7" w:rsidRPr="00C775E1" w:rsidRDefault="006170B7" w:rsidP="006C6031">
            <w:pPr>
              <w:pStyle w:val="Tabletext"/>
            </w:pPr>
            <w:r w:rsidRPr="00C775E1">
              <w:t>78</w:t>
            </w:r>
          </w:p>
        </w:tc>
        <w:tc>
          <w:tcPr>
            <w:tcW w:w="1756" w:type="dxa"/>
          </w:tcPr>
          <w:p w14:paraId="66C77D3A" w14:textId="77777777" w:rsidR="006170B7" w:rsidRPr="00C775E1" w:rsidRDefault="006170B7" w:rsidP="006C6031">
            <w:pPr>
              <w:pStyle w:val="Tabletext"/>
            </w:pPr>
            <w:r w:rsidRPr="00C775E1">
              <w:t>69</w:t>
            </w:r>
          </w:p>
        </w:tc>
        <w:tc>
          <w:tcPr>
            <w:tcW w:w="1756" w:type="dxa"/>
          </w:tcPr>
          <w:p w14:paraId="0E1BF988" w14:textId="77777777" w:rsidR="006170B7" w:rsidRPr="00C775E1" w:rsidRDefault="006170B7" w:rsidP="006C6031">
            <w:pPr>
              <w:pStyle w:val="Tabletext"/>
            </w:pPr>
            <w:r w:rsidRPr="00C775E1">
              <w:t>76</w:t>
            </w:r>
          </w:p>
        </w:tc>
      </w:tr>
      <w:tr w:rsidR="006C6031" w:rsidRPr="00C775E1" w14:paraId="6597BFC0" w14:textId="77777777" w:rsidTr="006C6031">
        <w:tc>
          <w:tcPr>
            <w:tcW w:w="1755" w:type="dxa"/>
          </w:tcPr>
          <w:p w14:paraId="6352199D" w14:textId="77777777" w:rsidR="006170B7" w:rsidRPr="00C775E1" w:rsidRDefault="006170B7" w:rsidP="006C6031">
            <w:pPr>
              <w:pStyle w:val="Tabletext"/>
            </w:pPr>
            <w:r w:rsidRPr="00C775E1">
              <w:t>1-year gap</w:t>
            </w:r>
          </w:p>
        </w:tc>
        <w:tc>
          <w:tcPr>
            <w:tcW w:w="1755" w:type="dxa"/>
          </w:tcPr>
          <w:p w14:paraId="5FAD865B" w14:textId="77777777" w:rsidR="006170B7" w:rsidRPr="00C775E1" w:rsidRDefault="006170B7" w:rsidP="006C6031">
            <w:pPr>
              <w:pStyle w:val="Tabletext"/>
            </w:pPr>
            <w:r w:rsidRPr="00C775E1">
              <w:t>7</w:t>
            </w:r>
          </w:p>
        </w:tc>
        <w:tc>
          <w:tcPr>
            <w:tcW w:w="1756" w:type="dxa"/>
          </w:tcPr>
          <w:p w14:paraId="1F084799" w14:textId="77777777" w:rsidR="006170B7" w:rsidRPr="00C775E1" w:rsidRDefault="006170B7" w:rsidP="006C6031">
            <w:pPr>
              <w:pStyle w:val="Tabletext"/>
            </w:pPr>
            <w:r w:rsidRPr="00C775E1">
              <w:t>12</w:t>
            </w:r>
          </w:p>
        </w:tc>
        <w:tc>
          <w:tcPr>
            <w:tcW w:w="1756" w:type="dxa"/>
          </w:tcPr>
          <w:p w14:paraId="1BAF79B2" w14:textId="77777777" w:rsidR="006170B7" w:rsidRPr="00C775E1" w:rsidRDefault="006170B7" w:rsidP="006C6031">
            <w:pPr>
              <w:pStyle w:val="Tabletext"/>
            </w:pPr>
            <w:r w:rsidRPr="00C775E1">
              <w:t>20</w:t>
            </w:r>
          </w:p>
        </w:tc>
        <w:tc>
          <w:tcPr>
            <w:tcW w:w="1756" w:type="dxa"/>
          </w:tcPr>
          <w:p w14:paraId="35DC7596" w14:textId="77777777" w:rsidR="006170B7" w:rsidRPr="00C775E1" w:rsidRDefault="006170B7" w:rsidP="006C6031">
            <w:pPr>
              <w:pStyle w:val="Tabletext"/>
            </w:pPr>
            <w:r w:rsidRPr="00C775E1">
              <w:t>22</w:t>
            </w:r>
          </w:p>
        </w:tc>
      </w:tr>
      <w:tr w:rsidR="006C6031" w:rsidRPr="00C775E1" w14:paraId="0ECCC111" w14:textId="77777777" w:rsidTr="006C6031">
        <w:tc>
          <w:tcPr>
            <w:tcW w:w="1755" w:type="dxa"/>
          </w:tcPr>
          <w:p w14:paraId="09A414CD" w14:textId="77777777" w:rsidR="006170B7" w:rsidRPr="00C775E1" w:rsidRDefault="006170B7" w:rsidP="006C6031">
            <w:pPr>
              <w:pStyle w:val="Tabletext"/>
            </w:pPr>
            <w:r w:rsidRPr="00C775E1">
              <w:t>2-year gap</w:t>
            </w:r>
          </w:p>
        </w:tc>
        <w:tc>
          <w:tcPr>
            <w:tcW w:w="1755" w:type="dxa"/>
          </w:tcPr>
          <w:p w14:paraId="76BEAD19" w14:textId="77777777" w:rsidR="006170B7" w:rsidRPr="00C775E1" w:rsidRDefault="006170B7" w:rsidP="006C6031">
            <w:pPr>
              <w:pStyle w:val="Tabletext"/>
            </w:pPr>
            <w:r w:rsidRPr="00C775E1">
              <w:t>3</w:t>
            </w:r>
          </w:p>
        </w:tc>
        <w:tc>
          <w:tcPr>
            <w:tcW w:w="1756" w:type="dxa"/>
          </w:tcPr>
          <w:p w14:paraId="0C0393DE" w14:textId="77777777" w:rsidR="006170B7" w:rsidRPr="00C775E1" w:rsidRDefault="006170B7" w:rsidP="006C6031">
            <w:pPr>
              <w:pStyle w:val="Tabletext"/>
            </w:pPr>
            <w:r w:rsidRPr="00C775E1">
              <w:t>4</w:t>
            </w:r>
          </w:p>
        </w:tc>
        <w:tc>
          <w:tcPr>
            <w:tcW w:w="1756" w:type="dxa"/>
          </w:tcPr>
          <w:p w14:paraId="004C61D3" w14:textId="77777777" w:rsidR="006170B7" w:rsidRPr="00C775E1" w:rsidRDefault="006170B7" w:rsidP="006C6031">
            <w:pPr>
              <w:pStyle w:val="Tabletext"/>
            </w:pPr>
            <w:r w:rsidRPr="00C775E1">
              <w:t>5</w:t>
            </w:r>
          </w:p>
        </w:tc>
        <w:tc>
          <w:tcPr>
            <w:tcW w:w="1756" w:type="dxa"/>
          </w:tcPr>
          <w:p w14:paraId="0D519BA5" w14:textId="77777777" w:rsidR="006170B7" w:rsidRPr="00C775E1" w:rsidRDefault="006170B7" w:rsidP="006C6031">
            <w:pPr>
              <w:pStyle w:val="Tabletext"/>
            </w:pPr>
            <w:r w:rsidRPr="00C775E1">
              <w:t>1</w:t>
            </w:r>
          </w:p>
        </w:tc>
      </w:tr>
      <w:tr w:rsidR="006C6031" w:rsidRPr="00C775E1" w14:paraId="305940C4" w14:textId="77777777" w:rsidTr="006C6031">
        <w:tc>
          <w:tcPr>
            <w:tcW w:w="1755" w:type="dxa"/>
          </w:tcPr>
          <w:p w14:paraId="60176CE6" w14:textId="77777777" w:rsidR="006170B7" w:rsidRPr="00C775E1" w:rsidRDefault="006170B7" w:rsidP="006C6031">
            <w:pPr>
              <w:pStyle w:val="Tabletext"/>
            </w:pPr>
            <w:r w:rsidRPr="00C775E1">
              <w:t xml:space="preserve">Later </w:t>
            </w:r>
            <w:proofErr w:type="spellStart"/>
            <w:r w:rsidRPr="00C775E1">
              <w:t>entrants</w:t>
            </w:r>
            <w:r w:rsidRPr="00C775E1">
              <w:rPr>
                <w:vertAlign w:val="superscript"/>
              </w:rPr>
              <w:t>b</w:t>
            </w:r>
            <w:proofErr w:type="spellEnd"/>
          </w:p>
        </w:tc>
        <w:tc>
          <w:tcPr>
            <w:tcW w:w="1755" w:type="dxa"/>
          </w:tcPr>
          <w:p w14:paraId="7DB9AC4C" w14:textId="77777777" w:rsidR="006170B7" w:rsidRPr="00C775E1" w:rsidRDefault="006170B7" w:rsidP="006C6031">
            <w:pPr>
              <w:pStyle w:val="Tabletext"/>
            </w:pPr>
            <w:r w:rsidRPr="00C775E1">
              <w:t>5</w:t>
            </w:r>
          </w:p>
        </w:tc>
        <w:tc>
          <w:tcPr>
            <w:tcW w:w="1756" w:type="dxa"/>
          </w:tcPr>
          <w:p w14:paraId="5713E7FA" w14:textId="77777777" w:rsidR="006170B7" w:rsidRPr="00C775E1" w:rsidRDefault="006170B7" w:rsidP="006C6031">
            <w:pPr>
              <w:pStyle w:val="Tabletext"/>
            </w:pPr>
            <w:r w:rsidRPr="00C775E1">
              <w:t>5</w:t>
            </w:r>
          </w:p>
        </w:tc>
        <w:tc>
          <w:tcPr>
            <w:tcW w:w="1756" w:type="dxa"/>
          </w:tcPr>
          <w:p w14:paraId="31B75224" w14:textId="77777777" w:rsidR="006170B7" w:rsidRPr="00C775E1" w:rsidRDefault="006170B7" w:rsidP="006C6031">
            <w:pPr>
              <w:pStyle w:val="Tabletext"/>
            </w:pPr>
            <w:r w:rsidRPr="00C775E1">
              <w:t>6</w:t>
            </w:r>
          </w:p>
        </w:tc>
        <w:tc>
          <w:tcPr>
            <w:tcW w:w="1756" w:type="dxa"/>
          </w:tcPr>
          <w:p w14:paraId="60D6ED44" w14:textId="77777777" w:rsidR="006170B7" w:rsidRPr="00C775E1" w:rsidRDefault="006170B7" w:rsidP="006C6031">
            <w:pPr>
              <w:pStyle w:val="Tabletext"/>
            </w:pPr>
            <w:r w:rsidRPr="00C775E1">
              <w:t>0</w:t>
            </w:r>
          </w:p>
        </w:tc>
      </w:tr>
      <w:tr w:rsidR="006C6031" w:rsidRPr="00C775E1" w14:paraId="11887D44" w14:textId="77777777" w:rsidTr="006C6031">
        <w:tc>
          <w:tcPr>
            <w:tcW w:w="1755" w:type="dxa"/>
          </w:tcPr>
          <w:p w14:paraId="6B166ABB" w14:textId="77777777" w:rsidR="006170B7" w:rsidRPr="00C775E1" w:rsidRDefault="006170B7" w:rsidP="006C6031">
            <w:pPr>
              <w:pStyle w:val="Tabletext"/>
            </w:pPr>
            <w:r w:rsidRPr="00C775E1">
              <w:t>Total (%)</w:t>
            </w:r>
          </w:p>
        </w:tc>
        <w:tc>
          <w:tcPr>
            <w:tcW w:w="1755" w:type="dxa"/>
          </w:tcPr>
          <w:p w14:paraId="5609655E" w14:textId="77777777" w:rsidR="006170B7" w:rsidRPr="00C775E1" w:rsidRDefault="006170B7" w:rsidP="006C6031">
            <w:pPr>
              <w:pStyle w:val="Tabletext"/>
            </w:pPr>
            <w:r w:rsidRPr="00C775E1">
              <w:t>100</w:t>
            </w:r>
          </w:p>
        </w:tc>
        <w:tc>
          <w:tcPr>
            <w:tcW w:w="1756" w:type="dxa"/>
          </w:tcPr>
          <w:p w14:paraId="4182B478" w14:textId="77777777" w:rsidR="006170B7" w:rsidRPr="00C775E1" w:rsidRDefault="006170B7" w:rsidP="006C6031">
            <w:pPr>
              <w:pStyle w:val="Tabletext"/>
            </w:pPr>
            <w:r w:rsidRPr="00C775E1">
              <w:t>100</w:t>
            </w:r>
          </w:p>
        </w:tc>
        <w:tc>
          <w:tcPr>
            <w:tcW w:w="1756" w:type="dxa"/>
          </w:tcPr>
          <w:p w14:paraId="4E5239F5" w14:textId="77777777" w:rsidR="006170B7" w:rsidRPr="00C775E1" w:rsidRDefault="006170B7" w:rsidP="006C6031">
            <w:pPr>
              <w:pStyle w:val="Tabletext"/>
            </w:pPr>
            <w:r w:rsidRPr="00C775E1">
              <w:t>100</w:t>
            </w:r>
          </w:p>
        </w:tc>
        <w:tc>
          <w:tcPr>
            <w:tcW w:w="1756" w:type="dxa"/>
          </w:tcPr>
          <w:p w14:paraId="43864817" w14:textId="77777777" w:rsidR="006170B7" w:rsidRPr="00C775E1" w:rsidRDefault="006170B7" w:rsidP="006C6031">
            <w:pPr>
              <w:pStyle w:val="Tabletext"/>
            </w:pPr>
            <w:r w:rsidRPr="00C775E1">
              <w:t>100</w:t>
            </w:r>
          </w:p>
        </w:tc>
      </w:tr>
      <w:tr w:rsidR="006C6031" w:rsidRPr="00C775E1" w14:paraId="2357D3D2" w14:textId="77777777" w:rsidTr="006C6031">
        <w:tc>
          <w:tcPr>
            <w:tcW w:w="1755" w:type="dxa"/>
          </w:tcPr>
          <w:p w14:paraId="3C3A4430" w14:textId="48B07A24" w:rsidR="006170B7" w:rsidRPr="00C775E1" w:rsidRDefault="006170B7" w:rsidP="006C6031">
            <w:pPr>
              <w:pStyle w:val="Tabletext"/>
            </w:pPr>
            <w:r w:rsidRPr="00C775E1">
              <w:t>Percentage gap</w:t>
            </w:r>
            <w:r w:rsidR="00C63E27">
              <w:t xml:space="preserve"> </w:t>
            </w:r>
            <w:r w:rsidRPr="00C775E1">
              <w:t>takers</w:t>
            </w:r>
          </w:p>
        </w:tc>
        <w:tc>
          <w:tcPr>
            <w:tcW w:w="1755" w:type="dxa"/>
          </w:tcPr>
          <w:p w14:paraId="2256BEE7" w14:textId="77777777" w:rsidR="006170B7" w:rsidRPr="00C775E1" w:rsidRDefault="006170B7" w:rsidP="006C6031">
            <w:pPr>
              <w:pStyle w:val="Tabletext"/>
            </w:pPr>
            <w:r w:rsidRPr="00C775E1">
              <w:t>10</w:t>
            </w:r>
          </w:p>
        </w:tc>
        <w:tc>
          <w:tcPr>
            <w:tcW w:w="1756" w:type="dxa"/>
          </w:tcPr>
          <w:p w14:paraId="74E6791C" w14:textId="77777777" w:rsidR="006170B7" w:rsidRPr="00C775E1" w:rsidRDefault="006170B7" w:rsidP="006C6031">
            <w:pPr>
              <w:pStyle w:val="Tabletext"/>
            </w:pPr>
            <w:r w:rsidRPr="00C775E1">
              <w:t>16</w:t>
            </w:r>
          </w:p>
        </w:tc>
        <w:tc>
          <w:tcPr>
            <w:tcW w:w="1756" w:type="dxa"/>
          </w:tcPr>
          <w:p w14:paraId="48C1152B" w14:textId="77777777" w:rsidR="006170B7" w:rsidRPr="00C775E1" w:rsidRDefault="006170B7" w:rsidP="006C6031">
            <w:pPr>
              <w:pStyle w:val="Tabletext"/>
            </w:pPr>
            <w:r w:rsidRPr="00C775E1">
              <w:t>25</w:t>
            </w:r>
          </w:p>
        </w:tc>
        <w:tc>
          <w:tcPr>
            <w:tcW w:w="1756" w:type="dxa"/>
          </w:tcPr>
          <w:p w14:paraId="3255DEF9" w14:textId="77777777" w:rsidR="006170B7" w:rsidRPr="00C775E1" w:rsidRDefault="006170B7" w:rsidP="006C6031">
            <w:pPr>
              <w:pStyle w:val="Tabletext"/>
            </w:pPr>
            <w:r w:rsidRPr="00C775E1">
              <w:t>24</w:t>
            </w:r>
          </w:p>
        </w:tc>
      </w:tr>
      <w:tr w:rsidR="006C6031" w:rsidRPr="00C775E1" w14:paraId="58F526AB" w14:textId="77777777" w:rsidTr="006C6031">
        <w:tc>
          <w:tcPr>
            <w:tcW w:w="1755" w:type="dxa"/>
          </w:tcPr>
          <w:p w14:paraId="7B65DF33" w14:textId="77777777" w:rsidR="006170B7" w:rsidRPr="00C775E1" w:rsidRDefault="006170B7" w:rsidP="006C6031">
            <w:pPr>
              <w:pStyle w:val="Tabletext"/>
            </w:pPr>
            <w:r w:rsidRPr="00C775E1">
              <w:t>Number of gap takers</w:t>
            </w:r>
          </w:p>
        </w:tc>
        <w:tc>
          <w:tcPr>
            <w:tcW w:w="1755" w:type="dxa"/>
          </w:tcPr>
          <w:p w14:paraId="0E30A569" w14:textId="77777777" w:rsidR="006170B7" w:rsidRPr="00C775E1" w:rsidRDefault="006170B7" w:rsidP="006C6031">
            <w:pPr>
              <w:pStyle w:val="Tabletext"/>
            </w:pPr>
            <w:r w:rsidRPr="00C775E1">
              <w:t>366</w:t>
            </w:r>
          </w:p>
        </w:tc>
        <w:tc>
          <w:tcPr>
            <w:tcW w:w="1756" w:type="dxa"/>
          </w:tcPr>
          <w:p w14:paraId="7B46669C" w14:textId="77777777" w:rsidR="006170B7" w:rsidRPr="00C775E1" w:rsidRDefault="006170B7" w:rsidP="006C6031">
            <w:pPr>
              <w:pStyle w:val="Tabletext"/>
            </w:pPr>
            <w:r w:rsidRPr="00C775E1">
              <w:t>549</w:t>
            </w:r>
          </w:p>
        </w:tc>
        <w:tc>
          <w:tcPr>
            <w:tcW w:w="1756" w:type="dxa"/>
          </w:tcPr>
          <w:p w14:paraId="56DB7B16" w14:textId="77777777" w:rsidR="006170B7" w:rsidRPr="00C775E1" w:rsidRDefault="006170B7" w:rsidP="006C6031">
            <w:pPr>
              <w:pStyle w:val="Tabletext"/>
            </w:pPr>
            <w:r w:rsidRPr="00C775E1">
              <w:t>846</w:t>
            </w:r>
          </w:p>
        </w:tc>
        <w:tc>
          <w:tcPr>
            <w:tcW w:w="1756" w:type="dxa"/>
          </w:tcPr>
          <w:p w14:paraId="3D0DE41E" w14:textId="77777777" w:rsidR="006170B7" w:rsidRPr="00C775E1" w:rsidRDefault="006170B7" w:rsidP="006C6031">
            <w:pPr>
              <w:pStyle w:val="Tabletext"/>
            </w:pPr>
            <w:r w:rsidRPr="00C775E1">
              <w:t>753</w:t>
            </w:r>
          </w:p>
        </w:tc>
      </w:tr>
    </w:tbl>
    <w:p w14:paraId="4FD94ACF" w14:textId="5ECD2FBD" w:rsidR="006170B7" w:rsidRPr="00C775E1" w:rsidRDefault="006170B7" w:rsidP="0010685D">
      <w:pPr>
        <w:pStyle w:val="Source"/>
        <w:tabs>
          <w:tab w:val="left" w:pos="5288"/>
        </w:tabs>
        <w:ind w:left="0" w:firstLine="0"/>
      </w:pPr>
      <w:r w:rsidRPr="00C775E1">
        <w:t xml:space="preserve">Notes: </w:t>
      </w:r>
      <w:proofErr w:type="gramStart"/>
      <w:r w:rsidRPr="00C775E1">
        <w:t>a  No</w:t>
      </w:r>
      <w:proofErr w:type="gramEnd"/>
      <w:r w:rsidRPr="00C775E1">
        <w:t xml:space="preserve"> gap: those that go directly from </w:t>
      </w:r>
      <w:r w:rsidR="00335880">
        <w:t>Y</w:t>
      </w:r>
      <w:r w:rsidRPr="00C775E1">
        <w:t>ear 12 to university.</w:t>
      </w:r>
      <w:r w:rsidR="0010685D">
        <w:tab/>
      </w:r>
    </w:p>
    <w:p w14:paraId="5E17B520" w14:textId="124974B7" w:rsidR="006170B7" w:rsidRPr="00C775E1" w:rsidRDefault="006170B7" w:rsidP="0010685D">
      <w:pPr>
        <w:pStyle w:val="Source"/>
        <w:ind w:left="471" w:firstLine="0"/>
      </w:pPr>
      <w:proofErr w:type="gramStart"/>
      <w:r w:rsidRPr="00C775E1">
        <w:t>b  Later</w:t>
      </w:r>
      <w:proofErr w:type="gramEnd"/>
      <w:r w:rsidRPr="00C775E1">
        <w:t xml:space="preserve"> entrants are those who begin university more than two years after completing school. For 2009</w:t>
      </w:r>
      <w:r w:rsidR="00335880">
        <w:rPr>
          <w:rFonts w:ascii="Tahoma" w:hAnsi="Tahoma" w:cs="Tahoma"/>
        </w:rPr>
        <w:t>−</w:t>
      </w:r>
      <w:r w:rsidRPr="00C775E1">
        <w:t>10 data are limited on later entrants. These are not included as gap</w:t>
      </w:r>
      <w:r w:rsidR="00335880">
        <w:t xml:space="preserve"> </w:t>
      </w:r>
      <w:r w:rsidRPr="00C775E1">
        <w:t xml:space="preserve">takers. </w:t>
      </w:r>
    </w:p>
    <w:p w14:paraId="4E8C62DE" w14:textId="77777777" w:rsidR="006170B7" w:rsidRPr="00C775E1" w:rsidRDefault="006170B7" w:rsidP="006C6031">
      <w:pPr>
        <w:pStyle w:val="Source"/>
        <w:ind w:left="0" w:firstLine="0"/>
      </w:pPr>
      <w:r w:rsidRPr="00C775E1">
        <w:t>Data are for students who commenced university.</w:t>
      </w:r>
    </w:p>
    <w:p w14:paraId="7AB9BB1B" w14:textId="77777777" w:rsidR="006170B7" w:rsidRPr="00C775E1" w:rsidRDefault="006170B7" w:rsidP="006C6031">
      <w:pPr>
        <w:pStyle w:val="Source"/>
        <w:ind w:left="0" w:firstLine="0"/>
      </w:pPr>
      <w:r w:rsidRPr="00C775E1">
        <w:t xml:space="preserve">The proportion of university commencers taking more than two-year gaps is limited by the span of the data collections. Numbers may not sum to 100 because of rounding. </w:t>
      </w:r>
    </w:p>
    <w:p w14:paraId="424C008E" w14:textId="73B4694F" w:rsidR="006170B7" w:rsidRPr="00C775E1" w:rsidRDefault="006170B7" w:rsidP="006C6031">
      <w:pPr>
        <w:pStyle w:val="Source"/>
        <w:ind w:left="0" w:firstLine="0"/>
      </w:pPr>
      <w:r w:rsidRPr="00C775E1">
        <w:t>Source: 1999</w:t>
      </w:r>
      <w:r w:rsidR="00B4196F">
        <w:rPr>
          <w:rFonts w:cs="Arial"/>
        </w:rPr>
        <w:t>−</w:t>
      </w:r>
      <w:r w:rsidRPr="00C775E1">
        <w:t>2000 and 2002</w:t>
      </w:r>
      <w:r w:rsidR="00B4196F">
        <w:rPr>
          <w:rFonts w:cs="Arial"/>
        </w:rPr>
        <w:t>−</w:t>
      </w:r>
      <w:r w:rsidRPr="00C775E1">
        <w:t xml:space="preserve">03 columns sourced from Curtis, </w:t>
      </w:r>
      <w:proofErr w:type="spellStart"/>
      <w:r w:rsidRPr="00C775E1">
        <w:t>Mlotkowski</w:t>
      </w:r>
      <w:proofErr w:type="spellEnd"/>
      <w:r w:rsidRPr="00C775E1">
        <w:t xml:space="preserve"> and Lumsden (2012); 2006</w:t>
      </w:r>
      <w:r w:rsidR="00335880">
        <w:rPr>
          <w:rFonts w:ascii="Tahoma" w:hAnsi="Tahoma" w:cs="Tahoma"/>
        </w:rPr>
        <w:t>−</w:t>
      </w:r>
      <w:r w:rsidRPr="00C775E1">
        <w:t>07, and 2009</w:t>
      </w:r>
      <w:r w:rsidR="00335880">
        <w:rPr>
          <w:rFonts w:ascii="Tahoma" w:hAnsi="Tahoma" w:cs="Tahoma"/>
        </w:rPr>
        <w:t>−</w:t>
      </w:r>
      <w:r w:rsidRPr="00C775E1">
        <w:t xml:space="preserve">10 refers to the LSAY Y03 and Y06 cohorts respectively, unpublished data. </w:t>
      </w:r>
    </w:p>
    <w:p w14:paraId="78BE2A43" w14:textId="2BEC5882" w:rsidR="006170B7" w:rsidRDefault="006170B7" w:rsidP="006C6031">
      <w:pPr>
        <w:pStyle w:val="Text"/>
      </w:pPr>
      <w:r>
        <w:t>Some of the reasons that may explain the increase in gap</w:t>
      </w:r>
      <w:r w:rsidR="000D0AA8">
        <w:t>-</w:t>
      </w:r>
      <w:r>
        <w:t>year taking include:</w:t>
      </w:r>
    </w:p>
    <w:p w14:paraId="32685503" w14:textId="0A5E4F4A" w:rsidR="006170B7" w:rsidRDefault="00335880" w:rsidP="006C6031">
      <w:pPr>
        <w:pStyle w:val="Text"/>
        <w:numPr>
          <w:ilvl w:val="0"/>
          <w:numId w:val="33"/>
        </w:numPr>
      </w:pPr>
      <w:r>
        <w:t>l</w:t>
      </w:r>
      <w:r w:rsidR="006170B7">
        <w:t>abour market conditions</w:t>
      </w:r>
      <w:r>
        <w:t xml:space="preserve">: </w:t>
      </w:r>
      <w:r w:rsidR="005206E9">
        <w:t>good economic conditions where jobs are relatively easy to find</w:t>
      </w:r>
      <w:r w:rsidR="00EE7303">
        <w:t>;</w:t>
      </w:r>
      <w:r w:rsidR="005206E9">
        <w:t xml:space="preserve"> </w:t>
      </w:r>
      <w:r w:rsidR="00EE7303">
        <w:t>y</w:t>
      </w:r>
      <w:r w:rsidR="005206E9">
        <w:t>oung people may take advantage of this to gain work experience</w:t>
      </w:r>
    </w:p>
    <w:p w14:paraId="6792138D" w14:textId="75125C20" w:rsidR="006170B7" w:rsidRDefault="00335880" w:rsidP="006C6031">
      <w:pPr>
        <w:pStyle w:val="Text"/>
        <w:numPr>
          <w:ilvl w:val="0"/>
          <w:numId w:val="33"/>
        </w:numPr>
      </w:pPr>
      <w:r>
        <w:t>f</w:t>
      </w:r>
      <w:r w:rsidR="006170B7">
        <w:t>inancial cost associated with study</w:t>
      </w:r>
      <w:r w:rsidR="00214C38">
        <w:t>: s</w:t>
      </w:r>
      <w:r w:rsidR="006170B7">
        <w:t>ome students undertake a gap year for financial reasons</w:t>
      </w:r>
      <w:r w:rsidR="000D0AA8">
        <w:t>,</w:t>
      </w:r>
      <w:r w:rsidR="006170B7">
        <w:t xml:space="preserve"> such as working to earn money to allay the costs associated with study, or to take advantage of the Youth Allowance scheme</w:t>
      </w:r>
      <w:r w:rsidR="00600E33">
        <w:t>,</w:t>
      </w:r>
      <w:r w:rsidR="006170B7">
        <w:t xml:space="preserve"> as it was at that time</w:t>
      </w:r>
    </w:p>
    <w:p w14:paraId="6A0502A7" w14:textId="037FF3EE" w:rsidR="006170B7" w:rsidRDefault="000D0AA8" w:rsidP="006C6031">
      <w:pPr>
        <w:pStyle w:val="Text"/>
        <w:numPr>
          <w:ilvl w:val="0"/>
          <w:numId w:val="33"/>
        </w:numPr>
      </w:pPr>
      <w:r>
        <w:t>g</w:t>
      </w:r>
      <w:r w:rsidR="006170B7">
        <w:t>ap</w:t>
      </w:r>
      <w:r w:rsidR="00A05001">
        <w:t>-</w:t>
      </w:r>
      <w:r w:rsidR="006170B7">
        <w:t>year ‘industry’</w:t>
      </w:r>
      <w:r>
        <w:t>: t</w:t>
      </w:r>
      <w:r w:rsidR="006170B7">
        <w:t xml:space="preserve">here is </w:t>
      </w:r>
      <w:r>
        <w:t xml:space="preserve">now </w:t>
      </w:r>
      <w:r w:rsidR="006170B7">
        <w:t xml:space="preserve">an industry devoted to </w:t>
      </w:r>
      <w:r>
        <w:t xml:space="preserve">the </w:t>
      </w:r>
      <w:r w:rsidR="006170B7">
        <w:t>gap year (see &lt;http://www.gapyear.com&gt;)</w:t>
      </w:r>
      <w:r>
        <w:t>;</w:t>
      </w:r>
      <w:r w:rsidR="006170B7">
        <w:t xml:space="preserve"> in addition</w:t>
      </w:r>
      <w:r w:rsidR="00600E33">
        <w:t>,</w:t>
      </w:r>
      <w:r w:rsidR="006170B7">
        <w:t xml:space="preserve"> many initiatives and schemes </w:t>
      </w:r>
      <w:r>
        <w:t xml:space="preserve">have been developed </w:t>
      </w:r>
      <w:r w:rsidR="006170B7">
        <w:t>to entice young people to take a gap year.</w:t>
      </w:r>
    </w:p>
    <w:p w14:paraId="5D43B93A" w14:textId="5CF02ECD" w:rsidR="006170B7" w:rsidRDefault="006170B7" w:rsidP="006C6031">
      <w:pPr>
        <w:pStyle w:val="Text"/>
      </w:pPr>
      <w:r>
        <w:t>The inclusion</w:t>
      </w:r>
      <w:r w:rsidR="00EE7303">
        <w:t xml:space="preserve"> of</w:t>
      </w:r>
      <w:r>
        <w:t xml:space="preserve"> ‘taking a gap year’ as a specific category of activity in LSAY after completing Year 12</w:t>
      </w:r>
      <w:r w:rsidR="000D0AA8">
        <w:t>,</w:t>
      </w:r>
      <w:r>
        <w:t xml:space="preserve"> allows the comparison of intentional versus unintentional gap taking. Looking at the post</w:t>
      </w:r>
      <w:r w:rsidR="00B13137">
        <w:t>-Y</w:t>
      </w:r>
      <w:r>
        <w:t>ear 12 plans of 17</w:t>
      </w:r>
      <w:r w:rsidR="00B13137">
        <w:t>-</w:t>
      </w:r>
      <w:r>
        <w:t>year-olds interviewed in 2008 (from the Y06 cohort), 9.7% or 514 Year 12 students indicated ‘take a gap year’ as their immediate post</w:t>
      </w:r>
      <w:r w:rsidR="00B13137">
        <w:t>-</w:t>
      </w:r>
      <w:r>
        <w:t xml:space="preserve">school plan. However, </w:t>
      </w:r>
      <w:r w:rsidR="00B13137">
        <w:t>t</w:t>
      </w:r>
      <w:r>
        <w:t>able 1</w:t>
      </w:r>
      <w:r w:rsidR="00DB7F76">
        <w:t>9</w:t>
      </w:r>
      <w:r>
        <w:t xml:space="preserve"> indicates that 753 students who went on to university in 2009</w:t>
      </w:r>
      <w:r w:rsidR="00B13137">
        <w:rPr>
          <w:rFonts w:ascii="Tahoma" w:hAnsi="Tahoma" w:cs="Tahoma"/>
        </w:rPr>
        <w:t>−</w:t>
      </w:r>
      <w:r>
        <w:t>10 (Y06 cohort) took a gap year. This implies that there may have been some ‘unintentional’ gap taking.</w:t>
      </w:r>
    </w:p>
    <w:p w14:paraId="0A25C9E1" w14:textId="5A570434" w:rsidR="006170B7" w:rsidRDefault="006170B7" w:rsidP="006C6031">
      <w:pPr>
        <w:pStyle w:val="Text"/>
      </w:pPr>
      <w:r>
        <w:t xml:space="preserve">Other data in LSAY provide information on the proportion of young people </w:t>
      </w:r>
      <w:r w:rsidR="005C58E9">
        <w:t>who</w:t>
      </w:r>
      <w:r>
        <w:t xml:space="preserve"> </w:t>
      </w:r>
      <w:proofErr w:type="gramStart"/>
      <w:r>
        <w:t>actually commence</w:t>
      </w:r>
      <w:proofErr w:type="gramEnd"/>
      <w:r>
        <w:t xml:space="preserve"> university according to post</w:t>
      </w:r>
      <w:r w:rsidR="005C58E9">
        <w:t>-</w:t>
      </w:r>
      <w:r>
        <w:t>school intentions and gap</w:t>
      </w:r>
      <w:r w:rsidR="00A05001">
        <w:t>-</w:t>
      </w:r>
      <w:r>
        <w:t>year status. This analysis shows that a proportion of students not stating university as a post</w:t>
      </w:r>
      <w:r w:rsidR="005C58E9">
        <w:t>-</w:t>
      </w:r>
      <w:r>
        <w:t xml:space="preserve">school intention take a gap year and </w:t>
      </w:r>
      <w:proofErr w:type="gramStart"/>
      <w:r>
        <w:t>actually go</w:t>
      </w:r>
      <w:proofErr w:type="gramEnd"/>
      <w:r>
        <w:t xml:space="preserve"> on to commence university. For these students, the gap year may have provided an opportunity to reflect on their aspirations and realign their goals.</w:t>
      </w:r>
    </w:p>
    <w:p w14:paraId="66BE6E1D" w14:textId="59559145" w:rsidR="006170B7" w:rsidRDefault="006170B7" w:rsidP="006170B7">
      <w:pPr>
        <w:pStyle w:val="Heading2"/>
      </w:pPr>
      <w:bookmarkStart w:id="241" w:name="_Toc15048958"/>
      <w:bookmarkStart w:id="242" w:name="_Toc19803971"/>
      <w:r>
        <w:t>Characteristics of gap</w:t>
      </w:r>
      <w:r w:rsidR="00A05001">
        <w:t>-</w:t>
      </w:r>
      <w:r>
        <w:t>year takers</w:t>
      </w:r>
      <w:bookmarkEnd w:id="241"/>
      <w:bookmarkEnd w:id="242"/>
    </w:p>
    <w:p w14:paraId="32934346" w14:textId="51FFBA01" w:rsidR="006170B7" w:rsidRDefault="006170B7" w:rsidP="00D522F6">
      <w:pPr>
        <w:pStyle w:val="Text"/>
      </w:pPr>
      <w:r>
        <w:t>The incidence of taking a gap year varies by the socio-demographic characteristics of the young people as well as by school-related characteristics. Previous research</w:t>
      </w:r>
      <w:r w:rsidR="007B42C3">
        <w:t>,</w:t>
      </w:r>
      <w:r>
        <w:t xml:space="preserve"> by Milne, Kennedy and Ward (2009)</w:t>
      </w:r>
      <w:r w:rsidR="007B42C3">
        <w:t>,</w:t>
      </w:r>
      <w:r>
        <w:t xml:space="preserve"> has found that gap</w:t>
      </w:r>
      <w:r w:rsidR="00A7511B">
        <w:t>-</w:t>
      </w:r>
      <w:r>
        <w:t>year incidence varies by factors such as home location (increased incidence outside capital cities) and academic achievement (those with lower academic achievement). Birch and Miller (2007) additionally found those offered low</w:t>
      </w:r>
      <w:r w:rsidR="0080654B">
        <w:t>-</w:t>
      </w:r>
      <w:r>
        <w:lastRenderedPageBreak/>
        <w:t>preference courses and being from an English-speaking background to be more likely to take a gap year. However, they found no difference by gender.</w:t>
      </w:r>
    </w:p>
    <w:p w14:paraId="5688AE1E" w14:textId="779364BE" w:rsidR="006170B7" w:rsidRDefault="006170B7" w:rsidP="00D522F6">
      <w:pPr>
        <w:pStyle w:val="Text"/>
      </w:pPr>
      <w:r>
        <w:t>The analysis of the four cohorts of LSAY also found similar characteristics. In addition, there was a greater occurrence of gap</w:t>
      </w:r>
      <w:r w:rsidR="00A56EE8">
        <w:t>-</w:t>
      </w:r>
      <w:r>
        <w:t xml:space="preserve">year taking among those who were employed full-time or part-time in Year 12 </w:t>
      </w:r>
      <w:r w:rsidR="00A56EE8">
        <w:t>by comparison with</w:t>
      </w:r>
      <w:r>
        <w:t xml:space="preserve"> those </w:t>
      </w:r>
      <w:r w:rsidR="00A56EE8">
        <w:t>who</w:t>
      </w:r>
      <w:r>
        <w:t xml:space="preserve"> were not employed for the Y03 and Y06 cohorts (data not available for the other two cohorts). There was little difference in gap</w:t>
      </w:r>
      <w:r w:rsidR="000A7532">
        <w:t>-</w:t>
      </w:r>
      <w:r>
        <w:t>year taking between females and males.</w:t>
      </w:r>
    </w:p>
    <w:p w14:paraId="548C9EFF" w14:textId="6D6906E1" w:rsidR="006170B7" w:rsidRDefault="006170B7" w:rsidP="00D522F6">
      <w:pPr>
        <w:pStyle w:val="Text"/>
      </w:pPr>
      <w:r>
        <w:t>It was also found that the incidence of gap</w:t>
      </w:r>
      <w:r w:rsidR="000A7532">
        <w:t>-</w:t>
      </w:r>
      <w:r>
        <w:t>year taking increased across all characteristics over time. For some characteristics</w:t>
      </w:r>
      <w:r w:rsidR="00356B52">
        <w:t>,</w:t>
      </w:r>
      <w:r>
        <w:t xml:space="preserve"> the incidence increased to a large extent. For example, while 8% of young people whose parental education background was ‘technical qualification’ were gap</w:t>
      </w:r>
      <w:r w:rsidR="00EE7303">
        <w:t>-year</w:t>
      </w:r>
      <w:r>
        <w:t xml:space="preserve"> takers in 1999</w:t>
      </w:r>
      <w:r w:rsidR="00356B52">
        <w:rPr>
          <w:rFonts w:ascii="Tahoma" w:hAnsi="Tahoma" w:cs="Tahoma"/>
        </w:rPr>
        <w:t>−</w:t>
      </w:r>
      <w:r>
        <w:t>00, 26% were in 2009</w:t>
      </w:r>
      <w:r w:rsidR="00356B52">
        <w:rPr>
          <w:rFonts w:ascii="Tahoma" w:hAnsi="Tahoma" w:cs="Tahoma"/>
        </w:rPr>
        <w:t>−</w:t>
      </w:r>
      <w:r>
        <w:t>10.</w:t>
      </w:r>
    </w:p>
    <w:p w14:paraId="31BC7E45" w14:textId="6FD45A84" w:rsidR="006170B7" w:rsidRDefault="006170B7" w:rsidP="006170B7">
      <w:pPr>
        <w:pStyle w:val="Heading2"/>
      </w:pPr>
      <w:bookmarkStart w:id="243" w:name="_Toc15048959"/>
      <w:bookmarkStart w:id="244" w:name="_Toc19803972"/>
      <w:r>
        <w:t>The activities of gap</w:t>
      </w:r>
      <w:r w:rsidR="00356B52">
        <w:t>-</w:t>
      </w:r>
      <w:r>
        <w:t>year takers (including economic activity)</w:t>
      </w:r>
      <w:bookmarkEnd w:id="243"/>
      <w:bookmarkEnd w:id="244"/>
    </w:p>
    <w:p w14:paraId="2744EA8B" w14:textId="5ED771BB" w:rsidR="006170B7" w:rsidRDefault="006170B7" w:rsidP="00D522F6">
      <w:pPr>
        <w:pStyle w:val="Text"/>
      </w:pPr>
      <w:r>
        <w:t>The following table shows the activities of gap</w:t>
      </w:r>
      <w:r w:rsidR="00A7511B">
        <w:t>-</w:t>
      </w:r>
      <w:r>
        <w:t>year takers.</w:t>
      </w:r>
    </w:p>
    <w:p w14:paraId="19E6A94B" w14:textId="638C6EB1" w:rsidR="006170B7" w:rsidRPr="00CF7E3B" w:rsidRDefault="006170B7" w:rsidP="0010685D">
      <w:pPr>
        <w:pStyle w:val="tabletitle0"/>
      </w:pPr>
      <w:bookmarkStart w:id="245" w:name="_Toc19001677"/>
      <w:r w:rsidRPr="00CF7E3B">
        <w:t>Table 2</w:t>
      </w:r>
      <w:r w:rsidR="00DB7F76">
        <w:t>0</w:t>
      </w:r>
      <w:r w:rsidR="002302E9">
        <w:tab/>
      </w:r>
      <w:r w:rsidRPr="00CF7E3B">
        <w:t>The main activities of gap</w:t>
      </w:r>
      <w:r w:rsidR="00A7511B">
        <w:t>-</w:t>
      </w:r>
      <w:r w:rsidRPr="00CF7E3B">
        <w:t>year takers at average age of 18.7 years, 2006</w:t>
      </w:r>
      <w:r w:rsidR="00F87FDC">
        <w:rPr>
          <w:rFonts w:ascii="Tahoma" w:hAnsi="Tahoma" w:cs="Tahoma"/>
        </w:rPr>
        <w:t>−</w:t>
      </w:r>
      <w:r w:rsidRPr="00CF7E3B">
        <w:t>07 and 2009</w:t>
      </w:r>
      <w:r w:rsidR="00F87FDC">
        <w:rPr>
          <w:rFonts w:ascii="Tahoma" w:hAnsi="Tahoma" w:cs="Tahoma"/>
        </w:rPr>
        <w:t>−</w:t>
      </w:r>
      <w:r w:rsidRPr="00CF7E3B">
        <w:t>10</w:t>
      </w:r>
      <w:bookmarkEnd w:id="245"/>
    </w:p>
    <w:tbl>
      <w:tblPr>
        <w:tblStyle w:val="TableGrid2"/>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1126"/>
        <w:gridCol w:w="896"/>
        <w:gridCol w:w="1011"/>
        <w:gridCol w:w="855"/>
      </w:tblGrid>
      <w:tr w:rsidR="006C6031" w:rsidRPr="00CF7E3B" w14:paraId="6D4DCA39" w14:textId="77777777" w:rsidTr="006C6031">
        <w:tc>
          <w:tcPr>
            <w:tcW w:w="4673" w:type="dxa"/>
            <w:tcBorders>
              <w:top w:val="single" w:sz="4" w:space="0" w:color="auto"/>
              <w:bottom w:val="single" w:sz="4" w:space="0" w:color="auto"/>
            </w:tcBorders>
          </w:tcPr>
          <w:p w14:paraId="40F97112" w14:textId="77777777" w:rsidR="006170B7" w:rsidRPr="00CF7E3B" w:rsidRDefault="006170B7" w:rsidP="0091784F">
            <w:pPr>
              <w:pStyle w:val="Tablehead1"/>
            </w:pPr>
            <w:r w:rsidRPr="00CF7E3B">
              <w:t>Main activity</w:t>
            </w:r>
          </w:p>
        </w:tc>
        <w:tc>
          <w:tcPr>
            <w:tcW w:w="2268" w:type="dxa"/>
            <w:gridSpan w:val="2"/>
            <w:tcBorders>
              <w:top w:val="single" w:sz="4" w:space="0" w:color="auto"/>
              <w:bottom w:val="single" w:sz="4" w:space="0" w:color="auto"/>
            </w:tcBorders>
          </w:tcPr>
          <w:p w14:paraId="3C739CAD" w14:textId="6568F9CE" w:rsidR="006170B7" w:rsidRPr="00CF7E3B" w:rsidRDefault="006170B7" w:rsidP="0091784F">
            <w:pPr>
              <w:pStyle w:val="Tablehead1"/>
            </w:pPr>
            <w:r w:rsidRPr="00CF7E3B">
              <w:t>2006</w:t>
            </w:r>
            <w:r w:rsidR="00F87FDC">
              <w:rPr>
                <w:rFonts w:ascii="Tahoma" w:hAnsi="Tahoma" w:cs="Tahoma"/>
              </w:rPr>
              <w:t>−</w:t>
            </w:r>
            <w:r w:rsidRPr="00CF7E3B">
              <w:t>07</w:t>
            </w:r>
          </w:p>
        </w:tc>
        <w:tc>
          <w:tcPr>
            <w:tcW w:w="2075" w:type="dxa"/>
            <w:gridSpan w:val="2"/>
            <w:tcBorders>
              <w:top w:val="single" w:sz="4" w:space="0" w:color="auto"/>
              <w:bottom w:val="single" w:sz="4" w:space="0" w:color="auto"/>
            </w:tcBorders>
          </w:tcPr>
          <w:p w14:paraId="3A4E6A38" w14:textId="7067F2D5" w:rsidR="006170B7" w:rsidRPr="00CF7E3B" w:rsidRDefault="006170B7" w:rsidP="0091784F">
            <w:pPr>
              <w:pStyle w:val="Tablehead1"/>
            </w:pPr>
            <w:r w:rsidRPr="00CF7E3B">
              <w:t>2009</w:t>
            </w:r>
            <w:r w:rsidR="00F87FDC">
              <w:rPr>
                <w:rFonts w:ascii="Tahoma" w:hAnsi="Tahoma" w:cs="Tahoma"/>
              </w:rPr>
              <w:t>−</w:t>
            </w:r>
            <w:r w:rsidRPr="00CF7E3B">
              <w:t>10</w:t>
            </w:r>
          </w:p>
        </w:tc>
      </w:tr>
      <w:tr w:rsidR="006C6031" w:rsidRPr="00CF7E3B" w14:paraId="3DD89188" w14:textId="77777777" w:rsidTr="006C6031">
        <w:tc>
          <w:tcPr>
            <w:tcW w:w="4673" w:type="dxa"/>
            <w:tcBorders>
              <w:top w:val="single" w:sz="4" w:space="0" w:color="auto"/>
            </w:tcBorders>
          </w:tcPr>
          <w:p w14:paraId="5C53CB6A" w14:textId="77777777" w:rsidR="006170B7" w:rsidRPr="00CF7E3B" w:rsidRDefault="006170B7" w:rsidP="006C6031">
            <w:pPr>
              <w:pStyle w:val="Tabletext"/>
              <w:rPr>
                <w:rFonts w:ascii="Tahoma" w:hAnsi="Tahoma"/>
              </w:rPr>
            </w:pPr>
          </w:p>
        </w:tc>
        <w:tc>
          <w:tcPr>
            <w:tcW w:w="1276" w:type="dxa"/>
            <w:tcBorders>
              <w:top w:val="single" w:sz="4" w:space="0" w:color="auto"/>
            </w:tcBorders>
          </w:tcPr>
          <w:p w14:paraId="15AF9221" w14:textId="77777777" w:rsidR="006170B7" w:rsidRPr="00CF7E3B" w:rsidRDefault="006170B7" w:rsidP="006C6031">
            <w:pPr>
              <w:pStyle w:val="Tabletext"/>
              <w:rPr>
                <w:rFonts w:ascii="Tahoma" w:hAnsi="Tahoma"/>
                <w:i/>
              </w:rPr>
            </w:pPr>
            <w:r w:rsidRPr="00CF7E3B">
              <w:rPr>
                <w:rFonts w:ascii="Tahoma" w:hAnsi="Tahoma"/>
                <w:i/>
              </w:rPr>
              <w:t>N</w:t>
            </w:r>
          </w:p>
        </w:tc>
        <w:tc>
          <w:tcPr>
            <w:tcW w:w="992" w:type="dxa"/>
            <w:tcBorders>
              <w:top w:val="single" w:sz="4" w:space="0" w:color="auto"/>
            </w:tcBorders>
          </w:tcPr>
          <w:p w14:paraId="0B85AFB1" w14:textId="77777777" w:rsidR="006170B7" w:rsidRPr="00CF7E3B" w:rsidRDefault="006170B7" w:rsidP="006C6031">
            <w:pPr>
              <w:pStyle w:val="Tabletext"/>
              <w:rPr>
                <w:rFonts w:ascii="Tahoma" w:hAnsi="Tahoma"/>
              </w:rPr>
            </w:pPr>
            <w:r w:rsidRPr="00CF7E3B">
              <w:rPr>
                <w:rFonts w:ascii="Tahoma" w:hAnsi="Tahoma"/>
              </w:rPr>
              <w:t>%</w:t>
            </w:r>
          </w:p>
        </w:tc>
        <w:tc>
          <w:tcPr>
            <w:tcW w:w="1134" w:type="dxa"/>
            <w:tcBorders>
              <w:top w:val="single" w:sz="4" w:space="0" w:color="auto"/>
            </w:tcBorders>
          </w:tcPr>
          <w:p w14:paraId="22B1D984" w14:textId="77777777" w:rsidR="006170B7" w:rsidRPr="00CF7E3B" w:rsidRDefault="006170B7" w:rsidP="006C6031">
            <w:pPr>
              <w:pStyle w:val="Tabletext"/>
              <w:rPr>
                <w:rFonts w:ascii="Tahoma" w:hAnsi="Tahoma"/>
                <w:i/>
              </w:rPr>
            </w:pPr>
            <w:r w:rsidRPr="00CF7E3B">
              <w:rPr>
                <w:rFonts w:ascii="Tahoma" w:hAnsi="Tahoma"/>
                <w:i/>
              </w:rPr>
              <w:t>N</w:t>
            </w:r>
          </w:p>
        </w:tc>
        <w:tc>
          <w:tcPr>
            <w:tcW w:w="941" w:type="dxa"/>
            <w:tcBorders>
              <w:top w:val="single" w:sz="4" w:space="0" w:color="auto"/>
            </w:tcBorders>
          </w:tcPr>
          <w:p w14:paraId="1BF269FB" w14:textId="77777777" w:rsidR="006170B7" w:rsidRPr="00CF7E3B" w:rsidRDefault="006170B7" w:rsidP="006C6031">
            <w:pPr>
              <w:pStyle w:val="Tabletext"/>
              <w:rPr>
                <w:rFonts w:ascii="Tahoma" w:hAnsi="Tahoma"/>
              </w:rPr>
            </w:pPr>
            <w:r w:rsidRPr="00CF7E3B">
              <w:rPr>
                <w:rFonts w:ascii="Tahoma" w:hAnsi="Tahoma"/>
              </w:rPr>
              <w:t>%</w:t>
            </w:r>
          </w:p>
        </w:tc>
      </w:tr>
      <w:tr w:rsidR="006C6031" w:rsidRPr="00CF7E3B" w14:paraId="3C840F35" w14:textId="77777777" w:rsidTr="006C6031">
        <w:tc>
          <w:tcPr>
            <w:tcW w:w="4673" w:type="dxa"/>
          </w:tcPr>
          <w:p w14:paraId="3853F5F5" w14:textId="77777777" w:rsidR="006170B7" w:rsidRPr="00CF7E3B" w:rsidRDefault="006170B7" w:rsidP="006C6031">
            <w:pPr>
              <w:pStyle w:val="Tabletext"/>
            </w:pPr>
            <w:r w:rsidRPr="00CF7E3B">
              <w:t>Studying for qualification (non-university)</w:t>
            </w:r>
          </w:p>
        </w:tc>
        <w:tc>
          <w:tcPr>
            <w:tcW w:w="1276" w:type="dxa"/>
          </w:tcPr>
          <w:p w14:paraId="080F92E5" w14:textId="77777777" w:rsidR="006170B7" w:rsidRPr="00CF7E3B" w:rsidRDefault="006170B7" w:rsidP="006C6031">
            <w:pPr>
              <w:pStyle w:val="Tabletext"/>
            </w:pPr>
            <w:r w:rsidRPr="00CF7E3B">
              <w:t>132</w:t>
            </w:r>
          </w:p>
        </w:tc>
        <w:tc>
          <w:tcPr>
            <w:tcW w:w="992" w:type="dxa"/>
          </w:tcPr>
          <w:p w14:paraId="58831B54" w14:textId="77777777" w:rsidR="006170B7" w:rsidRPr="00CF7E3B" w:rsidRDefault="006170B7" w:rsidP="006C6031">
            <w:pPr>
              <w:pStyle w:val="Tabletext"/>
            </w:pPr>
            <w:r w:rsidRPr="00CF7E3B">
              <w:t>16</w:t>
            </w:r>
          </w:p>
        </w:tc>
        <w:tc>
          <w:tcPr>
            <w:tcW w:w="1134" w:type="dxa"/>
          </w:tcPr>
          <w:p w14:paraId="38BC51F0" w14:textId="77777777" w:rsidR="006170B7" w:rsidRPr="00CF7E3B" w:rsidRDefault="006170B7" w:rsidP="006C6031">
            <w:pPr>
              <w:pStyle w:val="Tabletext"/>
            </w:pPr>
            <w:r w:rsidRPr="00CF7E3B">
              <w:t>78</w:t>
            </w:r>
          </w:p>
        </w:tc>
        <w:tc>
          <w:tcPr>
            <w:tcW w:w="941" w:type="dxa"/>
          </w:tcPr>
          <w:p w14:paraId="2BA037A9" w14:textId="77777777" w:rsidR="006170B7" w:rsidRPr="00CF7E3B" w:rsidRDefault="006170B7" w:rsidP="006C6031">
            <w:pPr>
              <w:pStyle w:val="Tabletext"/>
            </w:pPr>
            <w:r w:rsidRPr="00CF7E3B">
              <w:t>10</w:t>
            </w:r>
          </w:p>
        </w:tc>
      </w:tr>
      <w:tr w:rsidR="006C6031" w:rsidRPr="00CF7E3B" w14:paraId="1787E264" w14:textId="77777777" w:rsidTr="006C6031">
        <w:tc>
          <w:tcPr>
            <w:tcW w:w="4673" w:type="dxa"/>
          </w:tcPr>
          <w:p w14:paraId="314842AA" w14:textId="77777777" w:rsidR="006170B7" w:rsidRPr="00CF7E3B" w:rsidRDefault="006170B7" w:rsidP="006C6031">
            <w:pPr>
              <w:pStyle w:val="Tabletext"/>
            </w:pPr>
            <w:r w:rsidRPr="00CF7E3B">
              <w:t>Other study</w:t>
            </w:r>
          </w:p>
        </w:tc>
        <w:tc>
          <w:tcPr>
            <w:tcW w:w="1276" w:type="dxa"/>
          </w:tcPr>
          <w:p w14:paraId="3C324881" w14:textId="77777777" w:rsidR="006170B7" w:rsidRPr="00CF7E3B" w:rsidRDefault="006170B7" w:rsidP="006C6031">
            <w:pPr>
              <w:pStyle w:val="Tabletext"/>
            </w:pPr>
            <w:r w:rsidRPr="00CF7E3B">
              <w:t>77</w:t>
            </w:r>
          </w:p>
        </w:tc>
        <w:tc>
          <w:tcPr>
            <w:tcW w:w="992" w:type="dxa"/>
          </w:tcPr>
          <w:p w14:paraId="7014410C" w14:textId="77777777" w:rsidR="006170B7" w:rsidRPr="00CF7E3B" w:rsidRDefault="006170B7" w:rsidP="006C6031">
            <w:pPr>
              <w:pStyle w:val="Tabletext"/>
            </w:pPr>
            <w:r w:rsidRPr="00CF7E3B">
              <w:t>9</w:t>
            </w:r>
          </w:p>
        </w:tc>
        <w:tc>
          <w:tcPr>
            <w:tcW w:w="1134" w:type="dxa"/>
          </w:tcPr>
          <w:p w14:paraId="54104E70" w14:textId="77777777" w:rsidR="006170B7" w:rsidRPr="00CF7E3B" w:rsidRDefault="006170B7" w:rsidP="006C6031">
            <w:pPr>
              <w:pStyle w:val="Tabletext"/>
            </w:pPr>
            <w:r w:rsidRPr="00CF7E3B">
              <w:t>44</w:t>
            </w:r>
          </w:p>
        </w:tc>
        <w:tc>
          <w:tcPr>
            <w:tcW w:w="941" w:type="dxa"/>
          </w:tcPr>
          <w:p w14:paraId="109DF9E1" w14:textId="77777777" w:rsidR="006170B7" w:rsidRPr="00CF7E3B" w:rsidRDefault="006170B7" w:rsidP="006C6031">
            <w:pPr>
              <w:pStyle w:val="Tabletext"/>
            </w:pPr>
            <w:r w:rsidRPr="00CF7E3B">
              <w:t>6</w:t>
            </w:r>
          </w:p>
        </w:tc>
      </w:tr>
      <w:tr w:rsidR="006C6031" w:rsidRPr="00CF7E3B" w14:paraId="0E77CBFD" w14:textId="77777777" w:rsidTr="006C6031">
        <w:tc>
          <w:tcPr>
            <w:tcW w:w="4673" w:type="dxa"/>
          </w:tcPr>
          <w:p w14:paraId="5304CBE7" w14:textId="77777777" w:rsidR="006170B7" w:rsidRPr="00CF7E3B" w:rsidRDefault="006170B7" w:rsidP="006C6031">
            <w:pPr>
              <w:pStyle w:val="Tabletext"/>
            </w:pPr>
            <w:r w:rsidRPr="00CF7E3B">
              <w:t>Work full-time</w:t>
            </w:r>
          </w:p>
        </w:tc>
        <w:tc>
          <w:tcPr>
            <w:tcW w:w="1276" w:type="dxa"/>
          </w:tcPr>
          <w:p w14:paraId="7A0F31E2" w14:textId="77777777" w:rsidR="006170B7" w:rsidRPr="00CF7E3B" w:rsidRDefault="006170B7" w:rsidP="006C6031">
            <w:pPr>
              <w:pStyle w:val="Tabletext"/>
            </w:pPr>
            <w:r w:rsidRPr="00CF7E3B">
              <w:t>181</w:t>
            </w:r>
          </w:p>
        </w:tc>
        <w:tc>
          <w:tcPr>
            <w:tcW w:w="992" w:type="dxa"/>
          </w:tcPr>
          <w:p w14:paraId="33F9AA8E" w14:textId="77777777" w:rsidR="006170B7" w:rsidRPr="00CF7E3B" w:rsidRDefault="006170B7" w:rsidP="006C6031">
            <w:pPr>
              <w:pStyle w:val="Tabletext"/>
            </w:pPr>
            <w:r w:rsidRPr="00CF7E3B">
              <w:t>21</w:t>
            </w:r>
          </w:p>
        </w:tc>
        <w:tc>
          <w:tcPr>
            <w:tcW w:w="1134" w:type="dxa"/>
          </w:tcPr>
          <w:p w14:paraId="0C10E261" w14:textId="77777777" w:rsidR="006170B7" w:rsidRPr="00CF7E3B" w:rsidRDefault="006170B7" w:rsidP="006C6031">
            <w:pPr>
              <w:pStyle w:val="Tabletext"/>
            </w:pPr>
            <w:r w:rsidRPr="00CF7E3B">
              <w:t>171</w:t>
            </w:r>
          </w:p>
        </w:tc>
        <w:tc>
          <w:tcPr>
            <w:tcW w:w="941" w:type="dxa"/>
          </w:tcPr>
          <w:p w14:paraId="7EC96014" w14:textId="77777777" w:rsidR="006170B7" w:rsidRPr="00CF7E3B" w:rsidRDefault="006170B7" w:rsidP="006C6031">
            <w:pPr>
              <w:pStyle w:val="Tabletext"/>
            </w:pPr>
            <w:r w:rsidRPr="00CF7E3B">
              <w:t>23</w:t>
            </w:r>
          </w:p>
        </w:tc>
      </w:tr>
      <w:tr w:rsidR="006C6031" w:rsidRPr="00CF7E3B" w14:paraId="7BC475B5" w14:textId="77777777" w:rsidTr="006C6031">
        <w:tc>
          <w:tcPr>
            <w:tcW w:w="4673" w:type="dxa"/>
          </w:tcPr>
          <w:p w14:paraId="24D971F8" w14:textId="77777777" w:rsidR="006170B7" w:rsidRPr="00CF7E3B" w:rsidRDefault="006170B7" w:rsidP="006C6031">
            <w:pPr>
              <w:pStyle w:val="Tabletext"/>
            </w:pPr>
            <w:r w:rsidRPr="00CF7E3B">
              <w:t>Work part-time</w:t>
            </w:r>
          </w:p>
        </w:tc>
        <w:tc>
          <w:tcPr>
            <w:tcW w:w="1276" w:type="dxa"/>
          </w:tcPr>
          <w:p w14:paraId="44F5EE64" w14:textId="77777777" w:rsidR="006170B7" w:rsidRPr="00CF7E3B" w:rsidRDefault="006170B7" w:rsidP="006C6031">
            <w:pPr>
              <w:pStyle w:val="Tabletext"/>
            </w:pPr>
            <w:r w:rsidRPr="00CF7E3B">
              <w:t>261</w:t>
            </w:r>
          </w:p>
        </w:tc>
        <w:tc>
          <w:tcPr>
            <w:tcW w:w="992" w:type="dxa"/>
          </w:tcPr>
          <w:p w14:paraId="29C74E1E" w14:textId="77777777" w:rsidR="006170B7" w:rsidRPr="00CF7E3B" w:rsidRDefault="006170B7" w:rsidP="006C6031">
            <w:pPr>
              <w:pStyle w:val="Tabletext"/>
            </w:pPr>
            <w:r w:rsidRPr="00CF7E3B">
              <w:t>31</w:t>
            </w:r>
          </w:p>
        </w:tc>
        <w:tc>
          <w:tcPr>
            <w:tcW w:w="1134" w:type="dxa"/>
          </w:tcPr>
          <w:p w14:paraId="5E0C9BEE" w14:textId="77777777" w:rsidR="006170B7" w:rsidRPr="00CF7E3B" w:rsidRDefault="006170B7" w:rsidP="006C6031">
            <w:pPr>
              <w:pStyle w:val="Tabletext"/>
            </w:pPr>
            <w:r w:rsidRPr="00CF7E3B">
              <w:t>214</w:t>
            </w:r>
          </w:p>
        </w:tc>
        <w:tc>
          <w:tcPr>
            <w:tcW w:w="941" w:type="dxa"/>
          </w:tcPr>
          <w:p w14:paraId="24C6DACB" w14:textId="77777777" w:rsidR="006170B7" w:rsidRPr="00CF7E3B" w:rsidRDefault="006170B7" w:rsidP="006C6031">
            <w:pPr>
              <w:pStyle w:val="Tabletext"/>
            </w:pPr>
            <w:r w:rsidRPr="00CF7E3B">
              <w:t>28</w:t>
            </w:r>
          </w:p>
        </w:tc>
      </w:tr>
      <w:tr w:rsidR="006C6031" w:rsidRPr="00CF7E3B" w14:paraId="0DB4A968" w14:textId="77777777" w:rsidTr="006C6031">
        <w:tc>
          <w:tcPr>
            <w:tcW w:w="4673" w:type="dxa"/>
          </w:tcPr>
          <w:p w14:paraId="3AE4AA66" w14:textId="77777777" w:rsidR="006170B7" w:rsidRPr="00CF7E3B" w:rsidRDefault="006170B7" w:rsidP="006C6031">
            <w:pPr>
              <w:pStyle w:val="Tabletext"/>
            </w:pPr>
            <w:r w:rsidRPr="00CF7E3B">
              <w:t>Working time: unknown</w:t>
            </w:r>
          </w:p>
        </w:tc>
        <w:tc>
          <w:tcPr>
            <w:tcW w:w="1276" w:type="dxa"/>
          </w:tcPr>
          <w:p w14:paraId="7169D874" w14:textId="77777777" w:rsidR="006170B7" w:rsidRPr="00CF7E3B" w:rsidRDefault="006170B7" w:rsidP="006C6031">
            <w:pPr>
              <w:pStyle w:val="Tabletext"/>
            </w:pPr>
            <w:r w:rsidRPr="00CF7E3B">
              <w:t>3</w:t>
            </w:r>
          </w:p>
        </w:tc>
        <w:tc>
          <w:tcPr>
            <w:tcW w:w="992" w:type="dxa"/>
          </w:tcPr>
          <w:p w14:paraId="04A1CC56" w14:textId="77777777" w:rsidR="006170B7" w:rsidRPr="00CF7E3B" w:rsidRDefault="006170B7" w:rsidP="006C6031">
            <w:pPr>
              <w:pStyle w:val="Tabletext"/>
            </w:pPr>
            <w:r w:rsidRPr="00CF7E3B">
              <w:t>0</w:t>
            </w:r>
          </w:p>
        </w:tc>
        <w:tc>
          <w:tcPr>
            <w:tcW w:w="1134" w:type="dxa"/>
          </w:tcPr>
          <w:p w14:paraId="4E28ABD3" w14:textId="77777777" w:rsidR="006170B7" w:rsidRPr="00CF7E3B" w:rsidRDefault="006170B7" w:rsidP="006C6031">
            <w:pPr>
              <w:pStyle w:val="Tabletext"/>
            </w:pPr>
            <w:r w:rsidRPr="00CF7E3B">
              <w:t>3</w:t>
            </w:r>
          </w:p>
        </w:tc>
        <w:tc>
          <w:tcPr>
            <w:tcW w:w="941" w:type="dxa"/>
          </w:tcPr>
          <w:p w14:paraId="09549A6B" w14:textId="77777777" w:rsidR="006170B7" w:rsidRPr="00CF7E3B" w:rsidRDefault="006170B7" w:rsidP="006C6031">
            <w:pPr>
              <w:pStyle w:val="Tabletext"/>
            </w:pPr>
            <w:r w:rsidRPr="00CF7E3B">
              <w:t>0</w:t>
            </w:r>
          </w:p>
        </w:tc>
      </w:tr>
      <w:tr w:rsidR="006C6031" w:rsidRPr="00CF7E3B" w14:paraId="1503D4BF" w14:textId="77777777" w:rsidTr="006C6031">
        <w:tc>
          <w:tcPr>
            <w:tcW w:w="4673" w:type="dxa"/>
          </w:tcPr>
          <w:p w14:paraId="66D3A68A" w14:textId="77777777" w:rsidR="006170B7" w:rsidRPr="00CF7E3B" w:rsidRDefault="006170B7" w:rsidP="006C6031">
            <w:pPr>
              <w:pStyle w:val="Tabletext"/>
            </w:pPr>
            <w:r w:rsidRPr="00CF7E3B">
              <w:t>Looking for work</w:t>
            </w:r>
          </w:p>
        </w:tc>
        <w:tc>
          <w:tcPr>
            <w:tcW w:w="1276" w:type="dxa"/>
          </w:tcPr>
          <w:p w14:paraId="60A8D8F8" w14:textId="77777777" w:rsidR="006170B7" w:rsidRPr="00CF7E3B" w:rsidRDefault="006170B7" w:rsidP="006C6031">
            <w:pPr>
              <w:pStyle w:val="Tabletext"/>
            </w:pPr>
            <w:r w:rsidRPr="00CF7E3B">
              <w:t>11</w:t>
            </w:r>
          </w:p>
        </w:tc>
        <w:tc>
          <w:tcPr>
            <w:tcW w:w="992" w:type="dxa"/>
          </w:tcPr>
          <w:p w14:paraId="48987DF5" w14:textId="77777777" w:rsidR="006170B7" w:rsidRPr="00CF7E3B" w:rsidRDefault="006170B7" w:rsidP="006C6031">
            <w:pPr>
              <w:pStyle w:val="Tabletext"/>
            </w:pPr>
            <w:r w:rsidRPr="00CF7E3B">
              <w:t>1</w:t>
            </w:r>
          </w:p>
        </w:tc>
        <w:tc>
          <w:tcPr>
            <w:tcW w:w="1134" w:type="dxa"/>
          </w:tcPr>
          <w:p w14:paraId="1D24EE02" w14:textId="77777777" w:rsidR="006170B7" w:rsidRPr="00CF7E3B" w:rsidRDefault="006170B7" w:rsidP="006C6031">
            <w:pPr>
              <w:pStyle w:val="Tabletext"/>
            </w:pPr>
            <w:r w:rsidRPr="00CF7E3B">
              <w:t>18</w:t>
            </w:r>
          </w:p>
        </w:tc>
        <w:tc>
          <w:tcPr>
            <w:tcW w:w="941" w:type="dxa"/>
          </w:tcPr>
          <w:p w14:paraId="2CCB7993" w14:textId="77777777" w:rsidR="006170B7" w:rsidRPr="00CF7E3B" w:rsidRDefault="006170B7" w:rsidP="006C6031">
            <w:pPr>
              <w:pStyle w:val="Tabletext"/>
            </w:pPr>
            <w:r w:rsidRPr="00CF7E3B">
              <w:t>2</w:t>
            </w:r>
          </w:p>
        </w:tc>
      </w:tr>
      <w:tr w:rsidR="006C6031" w:rsidRPr="00CF7E3B" w14:paraId="6FDF3114" w14:textId="77777777" w:rsidTr="006C6031">
        <w:tc>
          <w:tcPr>
            <w:tcW w:w="4673" w:type="dxa"/>
          </w:tcPr>
          <w:p w14:paraId="4F055CC8" w14:textId="77777777" w:rsidR="006170B7" w:rsidRPr="00CF7E3B" w:rsidRDefault="006170B7" w:rsidP="006C6031">
            <w:pPr>
              <w:pStyle w:val="Tabletext"/>
            </w:pPr>
            <w:r w:rsidRPr="00CF7E3B">
              <w:t>Home duties/looking after children</w:t>
            </w:r>
          </w:p>
        </w:tc>
        <w:tc>
          <w:tcPr>
            <w:tcW w:w="1276" w:type="dxa"/>
          </w:tcPr>
          <w:p w14:paraId="1BC543BE" w14:textId="77777777" w:rsidR="006170B7" w:rsidRPr="00CF7E3B" w:rsidRDefault="006170B7" w:rsidP="006C6031">
            <w:pPr>
              <w:pStyle w:val="Tabletext"/>
            </w:pPr>
            <w:r w:rsidRPr="00CF7E3B">
              <w:t>3</w:t>
            </w:r>
          </w:p>
        </w:tc>
        <w:tc>
          <w:tcPr>
            <w:tcW w:w="992" w:type="dxa"/>
          </w:tcPr>
          <w:p w14:paraId="79C496C1" w14:textId="77777777" w:rsidR="006170B7" w:rsidRPr="00CF7E3B" w:rsidRDefault="006170B7" w:rsidP="006C6031">
            <w:pPr>
              <w:pStyle w:val="Tabletext"/>
            </w:pPr>
            <w:r w:rsidRPr="00CF7E3B">
              <w:t>0</w:t>
            </w:r>
          </w:p>
        </w:tc>
        <w:tc>
          <w:tcPr>
            <w:tcW w:w="1134" w:type="dxa"/>
          </w:tcPr>
          <w:p w14:paraId="05D855F0" w14:textId="77777777" w:rsidR="006170B7" w:rsidRPr="00CF7E3B" w:rsidRDefault="006170B7" w:rsidP="006C6031">
            <w:pPr>
              <w:pStyle w:val="Tabletext"/>
            </w:pPr>
            <w:r w:rsidRPr="00CF7E3B">
              <w:t>5</w:t>
            </w:r>
          </w:p>
        </w:tc>
        <w:tc>
          <w:tcPr>
            <w:tcW w:w="941" w:type="dxa"/>
          </w:tcPr>
          <w:p w14:paraId="57659A59" w14:textId="77777777" w:rsidR="006170B7" w:rsidRPr="00CF7E3B" w:rsidRDefault="006170B7" w:rsidP="006C6031">
            <w:pPr>
              <w:pStyle w:val="Tabletext"/>
            </w:pPr>
            <w:r w:rsidRPr="00CF7E3B">
              <w:t>1</w:t>
            </w:r>
          </w:p>
        </w:tc>
      </w:tr>
      <w:tr w:rsidR="006C6031" w:rsidRPr="00CF7E3B" w14:paraId="68FF54A5" w14:textId="77777777" w:rsidTr="006C6031">
        <w:tc>
          <w:tcPr>
            <w:tcW w:w="4673" w:type="dxa"/>
          </w:tcPr>
          <w:p w14:paraId="606AC9EB" w14:textId="77777777" w:rsidR="006170B7" w:rsidRPr="00CF7E3B" w:rsidRDefault="006170B7" w:rsidP="006C6031">
            <w:pPr>
              <w:pStyle w:val="Tabletext"/>
            </w:pPr>
            <w:r w:rsidRPr="00CF7E3B">
              <w:t>Travel or holiday</w:t>
            </w:r>
          </w:p>
        </w:tc>
        <w:tc>
          <w:tcPr>
            <w:tcW w:w="1276" w:type="dxa"/>
          </w:tcPr>
          <w:p w14:paraId="7BD12DBC" w14:textId="77777777" w:rsidR="006170B7" w:rsidRPr="00CF7E3B" w:rsidRDefault="006170B7" w:rsidP="006C6031">
            <w:pPr>
              <w:pStyle w:val="Tabletext"/>
            </w:pPr>
            <w:r w:rsidRPr="00CF7E3B">
              <w:t>51</w:t>
            </w:r>
          </w:p>
        </w:tc>
        <w:tc>
          <w:tcPr>
            <w:tcW w:w="992" w:type="dxa"/>
          </w:tcPr>
          <w:p w14:paraId="22D47EAF" w14:textId="77777777" w:rsidR="006170B7" w:rsidRPr="00CF7E3B" w:rsidRDefault="006170B7" w:rsidP="006C6031">
            <w:pPr>
              <w:pStyle w:val="Tabletext"/>
            </w:pPr>
            <w:r w:rsidRPr="00CF7E3B">
              <w:t>6</w:t>
            </w:r>
          </w:p>
        </w:tc>
        <w:tc>
          <w:tcPr>
            <w:tcW w:w="1134" w:type="dxa"/>
          </w:tcPr>
          <w:p w14:paraId="4D0CBCF1" w14:textId="77777777" w:rsidR="006170B7" w:rsidRPr="00CF7E3B" w:rsidRDefault="006170B7" w:rsidP="006C6031">
            <w:pPr>
              <w:pStyle w:val="Tabletext"/>
            </w:pPr>
            <w:r w:rsidRPr="00CF7E3B">
              <w:t>47</w:t>
            </w:r>
          </w:p>
        </w:tc>
        <w:tc>
          <w:tcPr>
            <w:tcW w:w="941" w:type="dxa"/>
          </w:tcPr>
          <w:p w14:paraId="7CB93A52" w14:textId="77777777" w:rsidR="006170B7" w:rsidRPr="00CF7E3B" w:rsidRDefault="006170B7" w:rsidP="006C6031">
            <w:pPr>
              <w:pStyle w:val="Tabletext"/>
            </w:pPr>
            <w:r w:rsidRPr="00CF7E3B">
              <w:t>6</w:t>
            </w:r>
          </w:p>
        </w:tc>
      </w:tr>
      <w:tr w:rsidR="006C6031" w:rsidRPr="00CF7E3B" w14:paraId="44EC17D2" w14:textId="77777777" w:rsidTr="006C6031">
        <w:tc>
          <w:tcPr>
            <w:tcW w:w="4673" w:type="dxa"/>
          </w:tcPr>
          <w:p w14:paraId="265F3DB2" w14:textId="77777777" w:rsidR="006170B7" w:rsidRPr="00CF7E3B" w:rsidRDefault="006170B7" w:rsidP="006C6031">
            <w:pPr>
              <w:pStyle w:val="Tabletext"/>
            </w:pPr>
            <w:r w:rsidRPr="00CF7E3B">
              <w:t>Other/unknown*</w:t>
            </w:r>
          </w:p>
        </w:tc>
        <w:tc>
          <w:tcPr>
            <w:tcW w:w="1276" w:type="dxa"/>
          </w:tcPr>
          <w:p w14:paraId="2ECEA3E4" w14:textId="77777777" w:rsidR="006170B7" w:rsidRPr="00CF7E3B" w:rsidRDefault="006170B7" w:rsidP="006C6031">
            <w:pPr>
              <w:pStyle w:val="Tabletext"/>
            </w:pPr>
            <w:r w:rsidRPr="00CF7E3B">
              <w:t>127</w:t>
            </w:r>
          </w:p>
        </w:tc>
        <w:tc>
          <w:tcPr>
            <w:tcW w:w="992" w:type="dxa"/>
          </w:tcPr>
          <w:p w14:paraId="48722D95" w14:textId="77777777" w:rsidR="006170B7" w:rsidRPr="00CF7E3B" w:rsidRDefault="006170B7" w:rsidP="006C6031">
            <w:pPr>
              <w:pStyle w:val="Tabletext"/>
            </w:pPr>
            <w:r w:rsidRPr="00CF7E3B">
              <w:t>15</w:t>
            </w:r>
          </w:p>
        </w:tc>
        <w:tc>
          <w:tcPr>
            <w:tcW w:w="1134" w:type="dxa"/>
          </w:tcPr>
          <w:p w14:paraId="5F4B791B" w14:textId="77777777" w:rsidR="006170B7" w:rsidRPr="00CF7E3B" w:rsidRDefault="006170B7" w:rsidP="006C6031">
            <w:pPr>
              <w:pStyle w:val="Tabletext"/>
            </w:pPr>
            <w:r w:rsidRPr="00CF7E3B">
              <w:t>173</w:t>
            </w:r>
          </w:p>
        </w:tc>
        <w:tc>
          <w:tcPr>
            <w:tcW w:w="941" w:type="dxa"/>
          </w:tcPr>
          <w:p w14:paraId="6D71E1B0" w14:textId="77777777" w:rsidR="006170B7" w:rsidRPr="00CF7E3B" w:rsidRDefault="006170B7" w:rsidP="006C6031">
            <w:pPr>
              <w:pStyle w:val="Tabletext"/>
            </w:pPr>
            <w:r w:rsidRPr="00CF7E3B">
              <w:t>23</w:t>
            </w:r>
          </w:p>
        </w:tc>
      </w:tr>
      <w:tr w:rsidR="006C6031" w:rsidRPr="00CF7E3B" w14:paraId="6F81D5CB" w14:textId="77777777" w:rsidTr="006C6031">
        <w:tc>
          <w:tcPr>
            <w:tcW w:w="4673" w:type="dxa"/>
          </w:tcPr>
          <w:p w14:paraId="305AA8EF" w14:textId="77777777" w:rsidR="006170B7" w:rsidRPr="00CF7E3B" w:rsidRDefault="006170B7" w:rsidP="006C6031">
            <w:pPr>
              <w:pStyle w:val="Tabletext"/>
            </w:pPr>
            <w:r w:rsidRPr="00CF7E3B">
              <w:t>Total</w:t>
            </w:r>
          </w:p>
        </w:tc>
        <w:tc>
          <w:tcPr>
            <w:tcW w:w="1276" w:type="dxa"/>
          </w:tcPr>
          <w:p w14:paraId="210FA3E8" w14:textId="77777777" w:rsidR="006170B7" w:rsidRPr="00CF7E3B" w:rsidRDefault="006170B7" w:rsidP="006C6031">
            <w:pPr>
              <w:pStyle w:val="Tabletext"/>
            </w:pPr>
            <w:r w:rsidRPr="00CF7E3B">
              <w:t>846</w:t>
            </w:r>
          </w:p>
        </w:tc>
        <w:tc>
          <w:tcPr>
            <w:tcW w:w="992" w:type="dxa"/>
          </w:tcPr>
          <w:p w14:paraId="700FAEE7" w14:textId="77777777" w:rsidR="006170B7" w:rsidRPr="00CF7E3B" w:rsidRDefault="006170B7" w:rsidP="006C6031">
            <w:pPr>
              <w:pStyle w:val="Tabletext"/>
            </w:pPr>
            <w:r w:rsidRPr="00CF7E3B">
              <w:t>100</w:t>
            </w:r>
          </w:p>
        </w:tc>
        <w:tc>
          <w:tcPr>
            <w:tcW w:w="1134" w:type="dxa"/>
          </w:tcPr>
          <w:p w14:paraId="24B5D9E4" w14:textId="77777777" w:rsidR="006170B7" w:rsidRPr="00CF7E3B" w:rsidRDefault="006170B7" w:rsidP="006C6031">
            <w:pPr>
              <w:pStyle w:val="Tabletext"/>
            </w:pPr>
            <w:r w:rsidRPr="00CF7E3B">
              <w:t>753</w:t>
            </w:r>
          </w:p>
        </w:tc>
        <w:tc>
          <w:tcPr>
            <w:tcW w:w="941" w:type="dxa"/>
          </w:tcPr>
          <w:p w14:paraId="6F74D0F9" w14:textId="77777777" w:rsidR="006170B7" w:rsidRPr="00CF7E3B" w:rsidRDefault="006170B7" w:rsidP="006C6031">
            <w:pPr>
              <w:pStyle w:val="Tabletext"/>
            </w:pPr>
            <w:r w:rsidRPr="00CF7E3B">
              <w:t>100</w:t>
            </w:r>
          </w:p>
        </w:tc>
      </w:tr>
    </w:tbl>
    <w:p w14:paraId="62F3B7F7" w14:textId="47C7F2B2" w:rsidR="006170B7" w:rsidRPr="00CF7E3B" w:rsidRDefault="006170B7" w:rsidP="006C6031">
      <w:pPr>
        <w:pStyle w:val="Source"/>
        <w:ind w:left="0" w:firstLine="0"/>
      </w:pPr>
      <w:r w:rsidRPr="00CF7E3B">
        <w:t>Notes: * Unknown includes people who said their main activity was work, but for whom no information was available on their work. For 2009</w:t>
      </w:r>
      <w:r w:rsidR="00F87FDC">
        <w:rPr>
          <w:rFonts w:ascii="Tahoma" w:hAnsi="Tahoma" w:cs="Tahoma"/>
        </w:rPr>
        <w:t>−</w:t>
      </w:r>
      <w:r w:rsidRPr="00CF7E3B">
        <w:t>10 data are limited on two-year gap</w:t>
      </w:r>
      <w:r w:rsidR="00F87FDC">
        <w:t xml:space="preserve"> </w:t>
      </w:r>
      <w:r w:rsidRPr="00CF7E3B">
        <w:t>takers.</w:t>
      </w:r>
    </w:p>
    <w:p w14:paraId="3AE57C3C" w14:textId="77777777" w:rsidR="006170B7" w:rsidRPr="00CF7E3B" w:rsidRDefault="006170B7" w:rsidP="006C6031">
      <w:pPr>
        <w:pStyle w:val="Source"/>
        <w:ind w:left="0" w:firstLine="0"/>
      </w:pPr>
      <w:r w:rsidRPr="00CF7E3B">
        <w:t>Due to rounding, percentages may not sum to 100.</w:t>
      </w:r>
    </w:p>
    <w:p w14:paraId="10DBED28" w14:textId="77777777" w:rsidR="006170B7" w:rsidRPr="00CF7E3B" w:rsidRDefault="006170B7" w:rsidP="006C6031">
      <w:pPr>
        <w:pStyle w:val="Source"/>
        <w:ind w:left="0" w:firstLine="0"/>
      </w:pPr>
      <w:r w:rsidRPr="00CF7E3B">
        <w:t xml:space="preserve">Numbers are weighted counts. </w:t>
      </w:r>
    </w:p>
    <w:p w14:paraId="6025C576" w14:textId="77777777" w:rsidR="006170B7" w:rsidRPr="00CF7E3B" w:rsidRDefault="006170B7" w:rsidP="006C6031">
      <w:pPr>
        <w:pStyle w:val="Source"/>
        <w:ind w:left="0" w:firstLine="0"/>
      </w:pPr>
      <w:r w:rsidRPr="00CF7E3B">
        <w:t>Sources: LSAY Y03 and Y06 cohorts, unpublished data.</w:t>
      </w:r>
    </w:p>
    <w:p w14:paraId="241526F8" w14:textId="665F66CF" w:rsidR="006170B7" w:rsidRDefault="006170B7" w:rsidP="006C6031">
      <w:pPr>
        <w:pStyle w:val="Text"/>
      </w:pPr>
      <w:r>
        <w:t>Table 2</w:t>
      </w:r>
      <w:r w:rsidR="00DB7F76">
        <w:t>0</w:t>
      </w:r>
      <w:r>
        <w:t xml:space="preserve"> shows a wide variety of activities undertaken during the gap year. About half </w:t>
      </w:r>
      <w:r w:rsidR="00C9704D">
        <w:t xml:space="preserve">of </w:t>
      </w:r>
      <w:r>
        <w:t>the student</w:t>
      </w:r>
      <w:r w:rsidR="00C9704D">
        <w:t>s</w:t>
      </w:r>
      <w:r>
        <w:t xml:space="preserve"> worked either full-time or part-time during their gap year. Of interest is the proportion of students </w:t>
      </w:r>
      <w:r w:rsidR="00C9704D">
        <w:t>who</w:t>
      </w:r>
      <w:r>
        <w:t xml:space="preserve"> undertake some form of non-university study during their gap year (25% in 2006</w:t>
      </w:r>
      <w:r w:rsidR="00C9704D">
        <w:rPr>
          <w:rFonts w:ascii="Tahoma" w:hAnsi="Tahoma" w:cs="Tahoma"/>
        </w:rPr>
        <w:t>−0</w:t>
      </w:r>
      <w:r>
        <w:t>7 and 16% in 2009</w:t>
      </w:r>
      <w:r w:rsidR="00C9704D">
        <w:rPr>
          <w:rFonts w:ascii="Tahoma" w:hAnsi="Tahoma" w:cs="Tahoma"/>
        </w:rPr>
        <w:t>−</w:t>
      </w:r>
      <w:r>
        <w:t xml:space="preserve">10). This may be study for VET qualifications, or even school subjects to improve their then </w:t>
      </w:r>
      <w:r w:rsidR="009F367A">
        <w:t xml:space="preserve">tertiary entrance rank </w:t>
      </w:r>
      <w:r>
        <w:t>or TER</w:t>
      </w:r>
      <w:r w:rsidR="00EE7303">
        <w:t>,</w:t>
      </w:r>
      <w:r>
        <w:t xml:space="preserve"> now known as</w:t>
      </w:r>
      <w:r w:rsidR="00EE7303">
        <w:t xml:space="preserve"> the Australian Tertiary Admission Rank</w:t>
      </w:r>
      <w:r>
        <w:t xml:space="preserve"> </w:t>
      </w:r>
      <w:r w:rsidR="00EE7303">
        <w:t>(</w:t>
      </w:r>
      <w:r>
        <w:t>ATAR).</w:t>
      </w:r>
    </w:p>
    <w:p w14:paraId="5A84CF89" w14:textId="67477F0D" w:rsidR="006170B7" w:rsidRDefault="006170B7" w:rsidP="006C6031">
      <w:pPr>
        <w:pStyle w:val="Text"/>
      </w:pPr>
      <w:r>
        <w:t>One of the reasons people undertake a gap year is economic</w:t>
      </w:r>
      <w:r w:rsidR="00C9704D">
        <w:t>;</w:t>
      </w:r>
      <w:r>
        <w:t xml:space="preserve"> that is, they undertake paid work during their gap year. However, taking a gap year was also linked to the receipt of Youth Allowance. Ryan (2013), in research on student income support and participation in education and training in Australia, found evidence that receiving the Youth Allowance while in tertiary study (as the scheme was then) was associated with an increased probability of taking a gap year. Ryan’s analysis was conducted on the Y95 and Y98 cohorts of LSAY. Subsequent to that time period, however, some changes were made to the Youth Allowance in order to better target young people from low-to-middle income families as its </w:t>
      </w:r>
      <w:r>
        <w:lastRenderedPageBreak/>
        <w:t>main beneficiaries</w:t>
      </w:r>
      <w:r w:rsidR="00D03CC4">
        <w:t>,</w:t>
      </w:r>
      <w:r>
        <w:t xml:space="preserve"> its original intention. At that time, there was also still some ongoing concern about equitable access for regional students, and </w:t>
      </w:r>
      <w:r w:rsidR="00FF625E">
        <w:t xml:space="preserve">the </w:t>
      </w:r>
      <w:r w:rsidR="005206E9">
        <w:t>Australian Government</w:t>
      </w:r>
      <w:r w:rsidR="00EE7303">
        <w:t xml:space="preserve"> </w:t>
      </w:r>
      <w:r w:rsidR="005206E9">
        <w:t>announced</w:t>
      </w:r>
      <w:r>
        <w:t xml:space="preserve"> changes </w:t>
      </w:r>
      <w:r w:rsidR="008C689D">
        <w:t xml:space="preserve">designed </w:t>
      </w:r>
      <w:r>
        <w:t>to address this, noting that the data from LSAY show that students from regional and remote areas undertook a gap year to a greater extent than those from metropolitan areas.</w:t>
      </w:r>
    </w:p>
    <w:p w14:paraId="341A93A3" w14:textId="3AB97210" w:rsidR="006170B7" w:rsidRDefault="006170B7" w:rsidP="006170B7">
      <w:pPr>
        <w:pStyle w:val="Heading2"/>
      </w:pPr>
      <w:bookmarkStart w:id="246" w:name="_Toc15048960"/>
      <w:bookmarkStart w:id="247" w:name="_Toc19803973"/>
      <w:r>
        <w:t>What study do they undertake post</w:t>
      </w:r>
      <w:r w:rsidR="008D60BC">
        <w:t>-</w:t>
      </w:r>
      <w:r>
        <w:t>gap year?</w:t>
      </w:r>
      <w:bookmarkEnd w:id="246"/>
      <w:bookmarkEnd w:id="247"/>
    </w:p>
    <w:p w14:paraId="7A9E9806" w14:textId="4EE5964D" w:rsidR="006170B7" w:rsidRDefault="000901FE" w:rsidP="006C6031">
      <w:pPr>
        <w:pStyle w:val="Text"/>
      </w:pPr>
      <w:r>
        <w:t>Using the Y03 and Y06 cohorts of LSAY, a</w:t>
      </w:r>
      <w:r w:rsidR="006170B7">
        <w:t>n examination of first year university students showed similar enrolment patterns across fields of education by gap</w:t>
      </w:r>
      <w:r>
        <w:t>-</w:t>
      </w:r>
      <w:r w:rsidR="006170B7">
        <w:t>year status. Gap</w:t>
      </w:r>
      <w:r>
        <w:t>-</w:t>
      </w:r>
      <w:r w:rsidR="006170B7">
        <w:t xml:space="preserve">year students were slightly more likely to be enrolled in the fields of </w:t>
      </w:r>
      <w:r>
        <w:t xml:space="preserve">education and creative arts </w:t>
      </w:r>
      <w:r w:rsidR="006170B7">
        <w:t>than their non-gap</w:t>
      </w:r>
      <w:r w:rsidR="004541F6">
        <w:t>-</w:t>
      </w:r>
      <w:r w:rsidR="006170B7">
        <w:t>year counterparts, particularly so for the Y03 cohort. For this cohort, 16% of gap</w:t>
      </w:r>
      <w:r w:rsidR="004541F6">
        <w:t>-</w:t>
      </w:r>
      <w:r w:rsidR="006170B7">
        <w:t xml:space="preserve">year students enrolled in </w:t>
      </w:r>
      <w:r w:rsidR="004541F6">
        <w:t xml:space="preserve">creative arts courses and 12% in education </w:t>
      </w:r>
      <w:r w:rsidR="006170B7">
        <w:t xml:space="preserve">courses in their first year of university compared </w:t>
      </w:r>
      <w:r w:rsidR="004541F6">
        <w:t>with</w:t>
      </w:r>
      <w:r w:rsidR="006170B7">
        <w:t xml:space="preserve"> 10% and 7% respectively for non-gap</w:t>
      </w:r>
      <w:r w:rsidR="004541F6">
        <w:t>-</w:t>
      </w:r>
      <w:r w:rsidR="006170B7">
        <w:t>year students.</w:t>
      </w:r>
    </w:p>
    <w:p w14:paraId="313B06C8" w14:textId="77777777" w:rsidR="006170B7" w:rsidRDefault="006170B7" w:rsidP="006170B7">
      <w:pPr>
        <w:pStyle w:val="Heading2"/>
      </w:pPr>
      <w:bookmarkStart w:id="248" w:name="_Toc15048961"/>
      <w:bookmarkStart w:id="249" w:name="_Toc19803974"/>
      <w:r>
        <w:t>What are their outcomes at age 24?</w:t>
      </w:r>
      <w:bookmarkEnd w:id="248"/>
      <w:bookmarkEnd w:id="249"/>
    </w:p>
    <w:p w14:paraId="407FF003" w14:textId="77777777" w:rsidR="006170B7" w:rsidRDefault="006170B7" w:rsidP="00D522F6">
      <w:pPr>
        <w:pStyle w:val="Text"/>
      </w:pPr>
      <w:r>
        <w:t>One of the purposes of taking a gap year is to refine study and career goals, with this theoretically translating into good study and employment outcomes down the track.</w:t>
      </w:r>
    </w:p>
    <w:p w14:paraId="07277644" w14:textId="57307C55" w:rsidR="006170B7" w:rsidRDefault="006170B7" w:rsidP="00D522F6">
      <w:pPr>
        <w:pStyle w:val="Text"/>
      </w:pPr>
      <w:r>
        <w:t>Study outcomes were examined for the Y98 cohort of LSAY when the participants were 24 years old. The analysis showed that 12% more non-gap</w:t>
      </w:r>
      <w:r w:rsidR="00EE0D78">
        <w:t>-</w:t>
      </w:r>
      <w:r>
        <w:t xml:space="preserve">year students had completed their course and 11% </w:t>
      </w:r>
      <w:r w:rsidR="00EE0D78">
        <w:t>fewer</w:t>
      </w:r>
      <w:r>
        <w:t xml:space="preserve"> were still studying their first university course than gap</w:t>
      </w:r>
      <w:r w:rsidR="00EE0D78">
        <w:t>-</w:t>
      </w:r>
      <w:r>
        <w:t>year students. This is not particularly surprising</w:t>
      </w:r>
      <w:r w:rsidR="00EE0D78">
        <w:t>,</w:t>
      </w:r>
      <w:r>
        <w:t xml:space="preserve"> as the gap</w:t>
      </w:r>
      <w:r w:rsidR="00EE0D78">
        <w:t>-</w:t>
      </w:r>
      <w:r>
        <w:t xml:space="preserve">year students started their course one to two years </w:t>
      </w:r>
      <w:r w:rsidR="00EE0D78">
        <w:t>after</w:t>
      </w:r>
      <w:r>
        <w:t xml:space="preserve"> the non-gap</w:t>
      </w:r>
      <w:r w:rsidR="00EE0D78">
        <w:t>-</w:t>
      </w:r>
      <w:r>
        <w:t>year students. LSAY does not collect information on post-school study grades</w:t>
      </w:r>
      <w:r w:rsidR="00EE0D78">
        <w:t>;</w:t>
      </w:r>
      <w:r>
        <w:t xml:space="preserve"> however, other research (Jones 2004; Stehlik 2008) suggests that gap</w:t>
      </w:r>
      <w:r w:rsidR="001D3184">
        <w:t>-</w:t>
      </w:r>
      <w:r>
        <w:t>year takers receive higher grades.</w:t>
      </w:r>
    </w:p>
    <w:p w14:paraId="0FF0B3A5" w14:textId="5D3F87C8" w:rsidR="006170B7" w:rsidRDefault="006170B7" w:rsidP="00D522F6">
      <w:pPr>
        <w:pStyle w:val="Text"/>
      </w:pPr>
      <w:r>
        <w:t xml:space="preserve">Similarly, </w:t>
      </w:r>
      <w:r w:rsidR="001D3184">
        <w:t xml:space="preserve">an </w:t>
      </w:r>
      <w:r>
        <w:t xml:space="preserve">analysis of employment outcomes at age 24 </w:t>
      </w:r>
      <w:r w:rsidR="001D3184">
        <w:t xml:space="preserve">years </w:t>
      </w:r>
      <w:r>
        <w:t>is limited</w:t>
      </w:r>
      <w:r w:rsidR="00480B5A">
        <w:t>,</w:t>
      </w:r>
      <w:r>
        <w:t xml:space="preserve"> as the gap</w:t>
      </w:r>
      <w:r w:rsidR="001D3184">
        <w:t>-</w:t>
      </w:r>
      <w:r>
        <w:t xml:space="preserve">year takers would on average have had less time to make an impression on the labour market. The analysis found that there were 12% more non-gap takers employed full-time and 11% </w:t>
      </w:r>
      <w:r w:rsidR="001D3184">
        <w:t>fewer</w:t>
      </w:r>
      <w:r>
        <w:t xml:space="preserve"> employed part-time than gap</w:t>
      </w:r>
      <w:r w:rsidR="001D3184">
        <w:t>-</w:t>
      </w:r>
      <w:r>
        <w:t>year takers</w:t>
      </w:r>
      <w:r w:rsidR="001D3184">
        <w:t>.</w:t>
      </w:r>
      <w:r>
        <w:t xml:space="preserve"> (</w:t>
      </w:r>
      <w:r w:rsidR="001D3184">
        <w:t>T</w:t>
      </w:r>
      <w:r>
        <w:t>he proportion not employed was very similar</w:t>
      </w:r>
      <w:r w:rsidR="001D3184">
        <w:t>.</w:t>
      </w:r>
      <w:r>
        <w:t>) Furthermore</w:t>
      </w:r>
      <w:r w:rsidR="001D3184">
        <w:t>,</w:t>
      </w:r>
      <w:r>
        <w:t xml:space="preserve"> 15% more non-gap</w:t>
      </w:r>
      <w:r w:rsidR="001D3184">
        <w:t>-</w:t>
      </w:r>
      <w:r>
        <w:t>year takers were employed at higher occupational levels than gap</w:t>
      </w:r>
      <w:r w:rsidR="001D3184">
        <w:t>-</w:t>
      </w:r>
      <w:r>
        <w:t>year takers.</w:t>
      </w:r>
    </w:p>
    <w:p w14:paraId="20288979" w14:textId="445FBF7E" w:rsidR="006170B7" w:rsidRDefault="006170B7" w:rsidP="00D522F6">
      <w:pPr>
        <w:pStyle w:val="Text"/>
      </w:pPr>
      <w:r>
        <w:t>What would be more illuminating would be longer</w:t>
      </w:r>
      <w:r w:rsidR="001D3184">
        <w:t>-</w:t>
      </w:r>
      <w:r>
        <w:t>term employment outcomes, say at age 30</w:t>
      </w:r>
      <w:r w:rsidR="001D3184">
        <w:t xml:space="preserve"> years</w:t>
      </w:r>
      <w:r>
        <w:t>. Do the gap</w:t>
      </w:r>
      <w:r w:rsidR="001D3184">
        <w:t>-</w:t>
      </w:r>
      <w:r>
        <w:t>year takers catch</w:t>
      </w:r>
      <w:r w:rsidR="001D3184">
        <w:t xml:space="preserve"> </w:t>
      </w:r>
      <w:r>
        <w:t>up, or even surpass the non-gap</w:t>
      </w:r>
      <w:r w:rsidR="001D3184">
        <w:t>-</w:t>
      </w:r>
      <w:r>
        <w:t>year takers later when they have settled into their career paths?</w:t>
      </w:r>
    </w:p>
    <w:p w14:paraId="4E2EBA34" w14:textId="7BE34956" w:rsidR="006170B7" w:rsidRDefault="006170B7" w:rsidP="00D522F6">
      <w:pPr>
        <w:pStyle w:val="Text"/>
      </w:pPr>
      <w:r>
        <w:t>In addition to employment and social outcomes, gap</w:t>
      </w:r>
      <w:r w:rsidR="00224CE5">
        <w:t>-</w:t>
      </w:r>
      <w:r>
        <w:t>year taking can lead to other broader outcomes. For example, Jones (2004) in a review of gap</w:t>
      </w:r>
      <w:r w:rsidR="00224CE5">
        <w:t>-</w:t>
      </w:r>
      <w:r>
        <w:t>year provisions in England</w:t>
      </w:r>
      <w:r w:rsidR="00874539">
        <w:t>,</w:t>
      </w:r>
      <w:r>
        <w:t xml:space="preserve"> discusses the social capital benefits of taking a gap year. These include increased participation in civil society, a wide interest in politics and a greater ability to relate to </w:t>
      </w:r>
      <w:r w:rsidR="00224CE5">
        <w:t>the broader</w:t>
      </w:r>
      <w:r>
        <w:t xml:space="preserve"> society. He also mentions other benefits</w:t>
      </w:r>
      <w:r w:rsidR="00224CE5">
        <w:t>,</w:t>
      </w:r>
      <w:r>
        <w:t xml:space="preserve"> including increased confidence</w:t>
      </w:r>
      <w:r w:rsidR="00224CE5">
        <w:t>;</w:t>
      </w:r>
      <w:r>
        <w:t xml:space="preserve"> obtaining skills in financial management, languages or first aid</w:t>
      </w:r>
      <w:r w:rsidR="00224CE5">
        <w:t>;</w:t>
      </w:r>
      <w:r>
        <w:t xml:space="preserve"> and lower rates of involvement in risky behaviour.</w:t>
      </w:r>
    </w:p>
    <w:p w14:paraId="71AA2F29" w14:textId="77777777" w:rsidR="006170B7" w:rsidRDefault="006170B7" w:rsidP="006170B7">
      <w:pPr>
        <w:pStyle w:val="Heading2"/>
      </w:pPr>
      <w:bookmarkStart w:id="250" w:name="_Toc15048962"/>
      <w:bookmarkStart w:id="251" w:name="_Toc19803975"/>
      <w:r>
        <w:lastRenderedPageBreak/>
        <w:t>Conclusions</w:t>
      </w:r>
      <w:bookmarkEnd w:id="250"/>
      <w:bookmarkEnd w:id="251"/>
    </w:p>
    <w:p w14:paraId="28E022AB" w14:textId="25DC2ED7" w:rsidR="006170B7" w:rsidRDefault="006170B7" w:rsidP="00D522F6">
      <w:pPr>
        <w:pStyle w:val="Text"/>
      </w:pPr>
      <w:r>
        <w:t>Gap-year taking is a ‘phenomenon’ that has increased considerably over time in Australia and with it the variety of activities undertaken during the gap year. The LSAY data allow</w:t>
      </w:r>
      <w:r w:rsidR="005206E9">
        <w:t>ed</w:t>
      </w:r>
      <w:r>
        <w:t xml:space="preserve"> us to track the incidence of gap taking among young Australians and to examine their characteristics, activities and short-term outcomes at age 2</w:t>
      </w:r>
      <w:r w:rsidR="005206E9">
        <w:t>4</w:t>
      </w:r>
      <w:r w:rsidR="00BC184B">
        <w:t xml:space="preserve"> years</w:t>
      </w:r>
      <w:r>
        <w:t>. At this age many gap takers are still ‘catching up’</w:t>
      </w:r>
      <w:r w:rsidR="00711B61">
        <w:t>,</w:t>
      </w:r>
      <w:r>
        <w:t xml:space="preserve"> so it is not known from this analysis whether they have better longer-term outcomes.</w:t>
      </w:r>
    </w:p>
    <w:p w14:paraId="399ECDD1" w14:textId="648303F8" w:rsidR="006170B7" w:rsidRPr="00FD4659" w:rsidRDefault="006170B7" w:rsidP="00D522F6">
      <w:pPr>
        <w:pStyle w:val="Text"/>
      </w:pPr>
      <w:r>
        <w:t>So, there is still a question to be answered as to whether undertaking a gap year is of benefit and for which groups of young people. As one example, the analysis has identified that young people with lower academic achievement are more likely to undertake a gap year. More analysis is required to understand whether undertaking a gap year for this group of young people does provide an overall benefit.</w:t>
      </w:r>
    </w:p>
    <w:p w14:paraId="1C4AA0A5" w14:textId="77777777" w:rsidR="006170B7" w:rsidRDefault="006170B7" w:rsidP="0010685D">
      <w:pPr>
        <w:pStyle w:val="Heading2"/>
        <w:spacing w:after="240"/>
      </w:pPr>
      <w:bookmarkStart w:id="252" w:name="_Toc15048963"/>
      <w:bookmarkStart w:id="253" w:name="_Toc19803976"/>
      <w:r>
        <w:t>References</w:t>
      </w:r>
      <w:bookmarkEnd w:id="252"/>
      <w:bookmarkEnd w:id="253"/>
    </w:p>
    <w:p w14:paraId="7601ABFC" w14:textId="19E1A233" w:rsidR="006170B7" w:rsidRPr="00734FA5" w:rsidRDefault="006170B7" w:rsidP="0010685D">
      <w:pPr>
        <w:pStyle w:val="References"/>
      </w:pPr>
      <w:r>
        <w:t xml:space="preserve">Birch, ER &amp; Miller, PW 2007, ‘The characteristics of </w:t>
      </w:r>
      <w:r w:rsidR="00EE7303">
        <w:t>‘</w:t>
      </w:r>
      <w:r>
        <w:t>gap-year</w:t>
      </w:r>
      <w:r w:rsidR="00EE7303">
        <w:t>’</w:t>
      </w:r>
      <w:r>
        <w:t xml:space="preserve"> students and their tertiary academic outcomes’, </w:t>
      </w:r>
      <w:r>
        <w:rPr>
          <w:i/>
        </w:rPr>
        <w:t>Economic Record</w:t>
      </w:r>
      <w:r>
        <w:t>, vol.83, no.262, pp.329</w:t>
      </w:r>
      <w:r w:rsidR="00B55214">
        <w:t>−</w:t>
      </w:r>
      <w:r>
        <w:t>44.</w:t>
      </w:r>
    </w:p>
    <w:p w14:paraId="392FDEC7" w14:textId="77777777" w:rsidR="006170B7" w:rsidRPr="00734FA5" w:rsidRDefault="006170B7" w:rsidP="0010685D">
      <w:pPr>
        <w:pStyle w:val="References"/>
      </w:pPr>
      <w:r>
        <w:t xml:space="preserve">Curtis, D, </w:t>
      </w:r>
      <w:proofErr w:type="spellStart"/>
      <w:r>
        <w:t>Mlotkowski</w:t>
      </w:r>
      <w:proofErr w:type="spellEnd"/>
      <w:r>
        <w:t xml:space="preserve">, P &amp; Lumsden, M 2012, </w:t>
      </w:r>
      <w:r>
        <w:rPr>
          <w:i/>
        </w:rPr>
        <w:t>Bridging the gap: who takes a gap year and why?</w:t>
      </w:r>
      <w:r>
        <w:t>, NCVER, Adelaide.</w:t>
      </w:r>
    </w:p>
    <w:p w14:paraId="7C82586C" w14:textId="77777777" w:rsidR="006170B7" w:rsidRPr="00734FA5" w:rsidRDefault="006170B7" w:rsidP="0010685D">
      <w:pPr>
        <w:pStyle w:val="References"/>
      </w:pPr>
      <w:r>
        <w:t xml:space="preserve">Jones, A 2004, </w:t>
      </w:r>
      <w:r>
        <w:rPr>
          <w:i/>
        </w:rPr>
        <w:t>Review of gap year provision</w:t>
      </w:r>
      <w:r>
        <w:t>, Research report RR555, Department for Education and Skills, London.</w:t>
      </w:r>
    </w:p>
    <w:p w14:paraId="2F872929" w14:textId="6CB7E3B2" w:rsidR="006170B7" w:rsidRPr="00566920" w:rsidRDefault="006170B7" w:rsidP="0010685D">
      <w:pPr>
        <w:pStyle w:val="References"/>
      </w:pPr>
      <w:r>
        <w:t xml:space="preserve">Lumsden, M &amp; Stanwick, J 2012, </w:t>
      </w:r>
      <w:r>
        <w:rPr>
          <w:i/>
        </w:rPr>
        <w:t>Who takes a gap year and why?</w:t>
      </w:r>
      <w:r>
        <w:t xml:space="preserve">, </w:t>
      </w:r>
      <w:r w:rsidR="00EE7303">
        <w:t>LSAY b</w:t>
      </w:r>
      <w:r>
        <w:t>riefing paper 28, NCVER, Adelaide.</w:t>
      </w:r>
    </w:p>
    <w:p w14:paraId="6F42E288" w14:textId="77777777" w:rsidR="006170B7" w:rsidRPr="00566920" w:rsidRDefault="006170B7" w:rsidP="0010685D">
      <w:pPr>
        <w:pStyle w:val="References"/>
      </w:pPr>
      <w:r>
        <w:t xml:space="preserve">Milne, TA, Kennedy, M &amp; Ward, KL 2009, </w:t>
      </w:r>
      <w:r>
        <w:rPr>
          <w:i/>
        </w:rPr>
        <w:t>GAP year plus: preparing professionals, professionally</w:t>
      </w:r>
      <w:r>
        <w:t xml:space="preserve"> (discussion paper), viewed April 2012, &lt;https://www.waceinc.org/papers/vancouver/Australia/Milne,%20Kennedy,%20Ward.pdf?&gt;</w:t>
      </w:r>
    </w:p>
    <w:p w14:paraId="73F97709" w14:textId="77777777" w:rsidR="006170B7" w:rsidRPr="00566920" w:rsidRDefault="006170B7" w:rsidP="0010685D">
      <w:pPr>
        <w:pStyle w:val="References"/>
      </w:pPr>
      <w:r>
        <w:t xml:space="preserve">Ryan, C 2013, </w:t>
      </w:r>
      <w:r>
        <w:rPr>
          <w:i/>
        </w:rPr>
        <w:t>Student income support and education and training participation in Australia</w:t>
      </w:r>
      <w:r>
        <w:t>, NCVER, Adelaide.</w:t>
      </w:r>
    </w:p>
    <w:p w14:paraId="44588962" w14:textId="38CD620C" w:rsidR="006170B7" w:rsidRDefault="006170B7" w:rsidP="0010685D">
      <w:pPr>
        <w:pStyle w:val="References"/>
      </w:pPr>
      <w:r>
        <w:t>Stehlik, T 2008, ‘Mind the gap: researching school leaver aspirations’, paper presented at the NCVER National Vocational Education and Training Research Conference (No Frills), Launceston, 9</w:t>
      </w:r>
      <w:r w:rsidR="00C538A4">
        <w:rPr>
          <w:rFonts w:ascii="Tahoma" w:hAnsi="Tahoma" w:cs="Tahoma"/>
        </w:rPr>
        <w:t>−</w:t>
      </w:r>
      <w:r>
        <w:t>11 July 2008.</w:t>
      </w:r>
    </w:p>
    <w:p w14:paraId="139B4AD9" w14:textId="77777777" w:rsidR="006170B7" w:rsidRDefault="006170B7" w:rsidP="006170B7">
      <w:r>
        <w:br w:type="page"/>
      </w:r>
    </w:p>
    <w:p w14:paraId="5969BA53" w14:textId="07936ECA" w:rsidR="00407F0A" w:rsidRDefault="00407F0A" w:rsidP="00E612BF">
      <w:pPr>
        <w:pStyle w:val="Heading1"/>
      </w:pPr>
      <w:bookmarkStart w:id="254" w:name="_Toc19803977"/>
      <w:r>
        <w:lastRenderedPageBreak/>
        <w:t>Does combining school and work affect school and post-school outcomes?</w:t>
      </w:r>
      <w:bookmarkEnd w:id="254"/>
    </w:p>
    <w:p w14:paraId="481DE582" w14:textId="583FD5EE" w:rsidR="00407F0A" w:rsidRPr="00831E94" w:rsidRDefault="008E48C5" w:rsidP="00E95118">
      <w:pPr>
        <w:pStyle w:val="Text"/>
        <w:rPr>
          <w:i/>
          <w:sz w:val="22"/>
          <w:szCs w:val="22"/>
        </w:rPr>
      </w:pPr>
      <w:r>
        <w:rPr>
          <w:i/>
          <w:sz w:val="22"/>
          <w:szCs w:val="22"/>
        </w:rPr>
        <w:t xml:space="preserve">Alison </w:t>
      </w:r>
      <w:proofErr w:type="spellStart"/>
      <w:r>
        <w:rPr>
          <w:i/>
          <w:sz w:val="22"/>
          <w:szCs w:val="22"/>
        </w:rPr>
        <w:t>Anlezark</w:t>
      </w:r>
      <w:proofErr w:type="spellEnd"/>
      <w:r>
        <w:rPr>
          <w:i/>
          <w:sz w:val="22"/>
          <w:szCs w:val="22"/>
        </w:rPr>
        <w:t xml:space="preserve"> was Manager of LSAY at NCVER from 2007-2013</w:t>
      </w:r>
    </w:p>
    <w:p w14:paraId="3DFA8085" w14:textId="24C9A516" w:rsidR="00407F0A" w:rsidRPr="00E95118" w:rsidRDefault="00082A73" w:rsidP="00E95118">
      <w:pPr>
        <w:pStyle w:val="Text"/>
        <w:rPr>
          <w:i/>
        </w:rPr>
      </w:pPr>
      <w:r>
        <w:rPr>
          <w:i/>
        </w:rPr>
        <w:t xml:space="preserve">This paper is based on a report of the same title </w:t>
      </w:r>
      <w:r w:rsidR="00657E90">
        <w:rPr>
          <w:i/>
        </w:rPr>
        <w:t>by</w:t>
      </w:r>
      <w:r w:rsidR="006000B3">
        <w:rPr>
          <w:i/>
        </w:rPr>
        <w:t xml:space="preserve"> </w:t>
      </w:r>
      <w:proofErr w:type="gramStart"/>
      <w:r w:rsidR="006000B3">
        <w:rPr>
          <w:i/>
        </w:rPr>
        <w:t>A</w:t>
      </w:r>
      <w:proofErr w:type="gramEnd"/>
      <w:r w:rsidR="00407F0A" w:rsidRPr="00E95118">
        <w:rPr>
          <w:i/>
        </w:rPr>
        <w:t xml:space="preserve"> Anlezark</w:t>
      </w:r>
      <w:r w:rsidR="00657E90">
        <w:rPr>
          <w:i/>
        </w:rPr>
        <w:t xml:space="preserve"> and</w:t>
      </w:r>
      <w:r w:rsidR="00407F0A" w:rsidRPr="00E95118">
        <w:rPr>
          <w:i/>
        </w:rPr>
        <w:t xml:space="preserve"> </w:t>
      </w:r>
      <w:r w:rsidR="006000B3">
        <w:rPr>
          <w:i/>
        </w:rPr>
        <w:t xml:space="preserve">P </w:t>
      </w:r>
      <w:r w:rsidR="00407F0A" w:rsidRPr="00E95118">
        <w:rPr>
          <w:i/>
        </w:rPr>
        <w:t>Lim</w:t>
      </w:r>
      <w:r w:rsidR="00657E90">
        <w:rPr>
          <w:i/>
        </w:rPr>
        <w:t>, published in 2011.</w:t>
      </w:r>
    </w:p>
    <w:p w14:paraId="4E21556B" w14:textId="77777777" w:rsidR="00407F0A" w:rsidRDefault="00407F0A" w:rsidP="00407F0A">
      <w:pPr>
        <w:pStyle w:val="Heading2"/>
      </w:pPr>
      <w:bookmarkStart w:id="255" w:name="_Toc15048965"/>
      <w:bookmarkStart w:id="256" w:name="_Toc19803978"/>
      <w:r>
        <w:t>Background</w:t>
      </w:r>
      <w:bookmarkEnd w:id="255"/>
      <w:bookmarkEnd w:id="256"/>
    </w:p>
    <w:p w14:paraId="6FD6C14F" w14:textId="629AC14E" w:rsidR="00407F0A" w:rsidRDefault="00407F0A" w:rsidP="00D522F6">
      <w:pPr>
        <w:pStyle w:val="Text"/>
      </w:pPr>
      <w:r>
        <w:t xml:space="preserve">One of the distinctive characteristics of Australia’s secondary schooling system is the sizable proportion of students working part-time, estimated to be between 30% </w:t>
      </w:r>
      <w:r w:rsidR="00887B03">
        <w:t>and</w:t>
      </w:r>
      <w:r>
        <w:t xml:space="preserve"> 60%. On the demand side, the changing structure of the Australian workforce has seen employers seeking more flexible, casual workers, particularly in the hospitality and retail sectors, for which young people are well suited (Biddle 2007). On the supply side, there </w:t>
      </w:r>
      <w:r w:rsidR="006F459B">
        <w:t xml:space="preserve">are </w:t>
      </w:r>
      <w:r>
        <w:t xml:space="preserve">plentiful </w:t>
      </w:r>
      <w:r w:rsidR="006F459B">
        <w:t>numbers</w:t>
      </w:r>
      <w:r>
        <w:t xml:space="preserve"> of young people who are staying on at school and who see part-time work as a means of gaining some financial independence from their parents. Young people make decisions about work </w:t>
      </w:r>
      <w:r w:rsidR="00D16AE2">
        <w:t>according to</w:t>
      </w:r>
      <w:r>
        <w:t xml:space="preserve"> its availability, their desire for financial independence, their ability to travel to the work location and </w:t>
      </w:r>
      <w:proofErr w:type="gramStart"/>
      <w:r>
        <w:t>whether or not</w:t>
      </w:r>
      <w:proofErr w:type="gramEnd"/>
      <w:r>
        <w:t xml:space="preserve"> their parents want them to work. Rarely are the jobs </w:t>
      </w:r>
      <w:r w:rsidR="00A93E67">
        <w:t xml:space="preserve">that </w:t>
      </w:r>
      <w:r>
        <w:t>young people choose to work in while at school selected as intentional career pathways (</w:t>
      </w:r>
      <w:proofErr w:type="spellStart"/>
      <w:r w:rsidR="000F5279">
        <w:t>Howieson</w:t>
      </w:r>
      <w:proofErr w:type="spellEnd"/>
      <w:r w:rsidR="000F5279">
        <w:t xml:space="preserve">, McKechnie &amp; Semple 2006; </w:t>
      </w:r>
      <w:r>
        <w:t>Robinson 1999; Smith &amp; Green 2005).</w:t>
      </w:r>
    </w:p>
    <w:p w14:paraId="1CC2F2EE" w14:textId="77777777" w:rsidR="00407F0A" w:rsidRDefault="00407F0A" w:rsidP="00D522F6">
      <w:pPr>
        <w:pStyle w:val="Text"/>
      </w:pPr>
      <w:r>
        <w:t>A good match is evident between supply (young people) and demand (employers) for student workers, but is this a good thing for young people? Are students able to manage the competing demands of combining school and work? Does combining school and work have a beneficial or detrimental impact on their school and post-school outcomes?</w:t>
      </w:r>
    </w:p>
    <w:p w14:paraId="7DEE586B" w14:textId="4E17B335" w:rsidR="00407F0A" w:rsidRDefault="00407F0A" w:rsidP="00D522F6">
      <w:pPr>
        <w:pStyle w:val="Text"/>
      </w:pPr>
      <w:r>
        <w:t>The purpose of this research is to explore these questions using data from the Longitudinal Surveys of Australian Youth</w:t>
      </w:r>
      <w:r w:rsidR="000F5279">
        <w:t xml:space="preserve"> (LSAY)</w:t>
      </w:r>
      <w:r>
        <w:t xml:space="preserve"> </w:t>
      </w:r>
      <w:r w:rsidR="00BB225A">
        <w:t>relating to</w:t>
      </w:r>
      <w:r>
        <w:t xml:space="preserve"> students who were aged 15 </w:t>
      </w:r>
      <w:r w:rsidR="002076C8">
        <w:t xml:space="preserve">years </w:t>
      </w:r>
      <w:r>
        <w:t>in 2003, comprising a group of 10 370 young people.</w:t>
      </w:r>
    </w:p>
    <w:p w14:paraId="3BC2F769" w14:textId="77777777" w:rsidR="00407F0A" w:rsidRDefault="00407F0A" w:rsidP="00D522F6">
      <w:pPr>
        <w:pStyle w:val="Text"/>
      </w:pPr>
      <w:r>
        <w:t>Consistent with previous research, we find some negative effects from combining school and work on school and post-school study outcomes for those working longer hours, but positive effects on post-school employment.</w:t>
      </w:r>
    </w:p>
    <w:p w14:paraId="419A3868" w14:textId="77777777" w:rsidR="00407F0A" w:rsidRDefault="00407F0A" w:rsidP="00407F0A">
      <w:pPr>
        <w:pStyle w:val="Heading2"/>
      </w:pPr>
      <w:bookmarkStart w:id="257" w:name="_Toc15048966"/>
      <w:bookmarkStart w:id="258" w:name="_Toc19803979"/>
      <w:r>
        <w:t>Research approach</w:t>
      </w:r>
      <w:bookmarkEnd w:id="257"/>
      <w:bookmarkEnd w:id="258"/>
    </w:p>
    <w:p w14:paraId="5472CFA3" w14:textId="6144121B" w:rsidR="00407F0A" w:rsidRDefault="00407F0A" w:rsidP="005876BA">
      <w:pPr>
        <w:pStyle w:val="Text"/>
      </w:pPr>
      <w:r>
        <w:t xml:space="preserve">Following </w:t>
      </w:r>
      <w:r w:rsidR="00017CA4">
        <w:t xml:space="preserve">a </w:t>
      </w:r>
      <w:r>
        <w:t>descriptive analysis on hours worked while at school between Years 9 and 12, a summary of the characteristics of students who combine school and work is provided to complete the picture. The statistical analysis looks at the effect of hours on school and post-school outcomes, allowing for the background and aspirational characteristics of the individual. School outcomes are measured as retention to Years 11 and 12, as well as</w:t>
      </w:r>
      <w:r w:rsidR="001B7BFF">
        <w:t xml:space="preserve"> students’</w:t>
      </w:r>
      <w:r>
        <w:t xml:space="preserve"> </w:t>
      </w:r>
      <w:r w:rsidR="00AB4091">
        <w:t xml:space="preserve">tertiary entrance </w:t>
      </w:r>
      <w:r w:rsidR="000F5279">
        <w:t>ranks</w:t>
      </w:r>
      <w:r w:rsidR="00900D16">
        <w:t xml:space="preserve"> (TER</w:t>
      </w:r>
      <w:r w:rsidR="00CB097B">
        <w:t>s</w:t>
      </w:r>
      <w:r w:rsidR="00900D16">
        <w:t>)</w:t>
      </w:r>
      <w:r>
        <w:t>. Post-school outcomes are measured in terms of full-time post-school study and full-time employment for Year 12 completers.</w:t>
      </w:r>
    </w:p>
    <w:p w14:paraId="53948298" w14:textId="0DA4B4FD" w:rsidR="00407F0A" w:rsidRDefault="00407F0A" w:rsidP="005876BA">
      <w:pPr>
        <w:pStyle w:val="Text"/>
      </w:pPr>
      <w:r>
        <w:t>Our choice of a measure of work was selected as a range of hours worked in any given year level</w:t>
      </w:r>
      <w:r w:rsidR="00AB4091">
        <w:t>,</w:t>
      </w:r>
      <w:r>
        <w:t xml:space="preserve"> which provides greater sensitivity than using a single measure of cumulative hours </w:t>
      </w:r>
      <w:r>
        <w:lastRenderedPageBreak/>
        <w:t>worked across all year levels, or a binary variable of work and no work. Hours of work are summed across all jobs, and because the LSAY interviews are conducted between July and January each year, they may also include school holiday jobs. However, due to the timing of the LSAY interviews, this only applied to the September school holidays.</w:t>
      </w:r>
    </w:p>
    <w:p w14:paraId="0362EE05" w14:textId="60588CC0" w:rsidR="00407F0A" w:rsidRDefault="00407F0A" w:rsidP="005876BA">
      <w:pPr>
        <w:pStyle w:val="Text"/>
      </w:pPr>
      <w:r>
        <w:t>We used a series of gender-specific regression models to describe the characteristics of those who are most likely to combine school and work in each school year level between Years 10, 11 and 12. From these models we derive propensity scores to control for background characteristics in the later models of post-school outcomes. The propensity scores were derived for working in each of Years 10, 11 and 12 separately for males and females. A series of logistic regression</w:t>
      </w:r>
      <w:r w:rsidR="005731BB">
        <w:t xml:space="preserve"> models</w:t>
      </w:r>
      <w:r>
        <w:t>, in which the response variable is working or not working, were fitted against the following background characteristics:</w:t>
      </w:r>
    </w:p>
    <w:p w14:paraId="0551DF68" w14:textId="77777777" w:rsidR="00407F0A" w:rsidRDefault="00407F0A" w:rsidP="00E95118">
      <w:pPr>
        <w:pStyle w:val="Text"/>
        <w:numPr>
          <w:ilvl w:val="0"/>
          <w:numId w:val="34"/>
        </w:numPr>
      </w:pPr>
      <w:r>
        <w:t>school sector</w:t>
      </w:r>
    </w:p>
    <w:p w14:paraId="30F444FD" w14:textId="77777777" w:rsidR="00407F0A" w:rsidRDefault="00407F0A" w:rsidP="00E95118">
      <w:pPr>
        <w:pStyle w:val="Text"/>
        <w:numPr>
          <w:ilvl w:val="0"/>
          <w:numId w:val="34"/>
        </w:numPr>
      </w:pPr>
      <w:r>
        <w:t>locality</w:t>
      </w:r>
    </w:p>
    <w:p w14:paraId="26077E32" w14:textId="77777777" w:rsidR="00407F0A" w:rsidRDefault="00407F0A" w:rsidP="00E95118">
      <w:pPr>
        <w:pStyle w:val="Text"/>
        <w:numPr>
          <w:ilvl w:val="0"/>
          <w:numId w:val="34"/>
        </w:numPr>
      </w:pPr>
      <w:r>
        <w:t>socioeconomic status (parental occupation)</w:t>
      </w:r>
    </w:p>
    <w:p w14:paraId="0881074E" w14:textId="74C62097" w:rsidR="00407F0A" w:rsidRDefault="00407F0A" w:rsidP="00E95118">
      <w:pPr>
        <w:pStyle w:val="Text"/>
        <w:numPr>
          <w:ilvl w:val="0"/>
          <w:numId w:val="34"/>
        </w:numPr>
      </w:pPr>
      <w:r>
        <w:t>academic achievement (in math</w:t>
      </w:r>
      <w:r w:rsidR="00995446">
        <w:t>s</w:t>
      </w:r>
      <w:r>
        <w:t>, problem-solving, reading and science)</w:t>
      </w:r>
    </w:p>
    <w:p w14:paraId="5901E538" w14:textId="7FB79E78" w:rsidR="00407F0A" w:rsidRDefault="00407F0A" w:rsidP="00E95118">
      <w:pPr>
        <w:pStyle w:val="Text"/>
        <w:numPr>
          <w:ilvl w:val="0"/>
          <w:numId w:val="34"/>
        </w:numPr>
      </w:pPr>
      <w:r>
        <w:t xml:space="preserve">participation in VET in </w:t>
      </w:r>
      <w:r w:rsidR="00995446">
        <w:t>S</w:t>
      </w:r>
      <w:r>
        <w:t>chools in 2004</w:t>
      </w:r>
    </w:p>
    <w:p w14:paraId="38C383CA" w14:textId="77777777" w:rsidR="00407F0A" w:rsidRDefault="00407F0A" w:rsidP="00E95118">
      <w:pPr>
        <w:pStyle w:val="Text"/>
        <w:numPr>
          <w:ilvl w:val="0"/>
          <w:numId w:val="34"/>
        </w:numPr>
      </w:pPr>
      <w:r>
        <w:t>intention to complete Year 12</w:t>
      </w:r>
    </w:p>
    <w:p w14:paraId="3FA3AC2F" w14:textId="77777777" w:rsidR="00407F0A" w:rsidRDefault="00407F0A" w:rsidP="00E95118">
      <w:pPr>
        <w:pStyle w:val="Text"/>
        <w:numPr>
          <w:ilvl w:val="0"/>
          <w:numId w:val="34"/>
        </w:numPr>
      </w:pPr>
      <w:r>
        <w:t>future intentions (study, apprenticeship, other work etc.).</w:t>
      </w:r>
    </w:p>
    <w:p w14:paraId="05114BB6" w14:textId="77777777" w:rsidR="00407F0A" w:rsidRDefault="00407F0A" w:rsidP="00E95118">
      <w:pPr>
        <w:pStyle w:val="Text"/>
      </w:pPr>
      <w:r>
        <w:t>Regression models were then used to determine the effect of working hours on school and post-school outcomes. The four investigations undertaken are (separately for males and females):</w:t>
      </w:r>
    </w:p>
    <w:p w14:paraId="03924748" w14:textId="0B777E7D" w:rsidR="00407F0A" w:rsidRDefault="00407F0A" w:rsidP="00E95118">
      <w:pPr>
        <w:pStyle w:val="Text"/>
        <w:numPr>
          <w:ilvl w:val="0"/>
          <w:numId w:val="35"/>
        </w:numPr>
      </w:pPr>
      <w:r>
        <w:t xml:space="preserve">Year 11 and 12 retention: logistic regression of retention to Year 11 and Year 12 against working hours in Year 10 (for Year 11) and working hours in </w:t>
      </w:r>
      <w:r w:rsidR="00507E42">
        <w:t>Y</w:t>
      </w:r>
      <w:r>
        <w:t>ear 11 (for Year 12)</w:t>
      </w:r>
    </w:p>
    <w:p w14:paraId="1DC5578C" w14:textId="56513263" w:rsidR="00407F0A" w:rsidRDefault="00502CFE" w:rsidP="00E95118">
      <w:pPr>
        <w:pStyle w:val="Text"/>
        <w:numPr>
          <w:ilvl w:val="0"/>
          <w:numId w:val="35"/>
        </w:numPr>
      </w:pPr>
      <w:r>
        <w:t>o</w:t>
      </w:r>
      <w:r w:rsidR="00407F0A">
        <w:t>rdinary least squares (OLS) regression of Year 12 TER score against working hours in Year 12</w:t>
      </w:r>
    </w:p>
    <w:p w14:paraId="36BC46CA" w14:textId="0B0E1050" w:rsidR="00407F0A" w:rsidRDefault="00502CFE" w:rsidP="00E95118">
      <w:pPr>
        <w:pStyle w:val="Text"/>
        <w:numPr>
          <w:ilvl w:val="0"/>
          <w:numId w:val="35"/>
        </w:numPr>
      </w:pPr>
      <w:r>
        <w:t>f</w:t>
      </w:r>
      <w:r w:rsidR="00407F0A">
        <w:t>ull-time study status in either of the two years post-Year 12 completion: logistic regression against working hours in Year 12</w:t>
      </w:r>
    </w:p>
    <w:p w14:paraId="6FF47E4F" w14:textId="1DC0290F" w:rsidR="00407F0A" w:rsidRDefault="00502CFE" w:rsidP="00E95118">
      <w:pPr>
        <w:pStyle w:val="Text"/>
        <w:numPr>
          <w:ilvl w:val="0"/>
          <w:numId w:val="35"/>
        </w:numPr>
      </w:pPr>
      <w:r>
        <w:t>f</w:t>
      </w:r>
      <w:r w:rsidR="00407F0A">
        <w:t>ull-time employment in 2007 (including apprenticeships and traineeships) for those who did not undertake any full-time study in the two years after completing Year 12: logistic regression against working hours in Year 12.</w:t>
      </w:r>
    </w:p>
    <w:p w14:paraId="54024E07" w14:textId="0F255CA1" w:rsidR="00831E94" w:rsidRDefault="00407F0A" w:rsidP="001A45D0">
      <w:pPr>
        <w:pStyle w:val="Text"/>
        <w:sectPr w:rsidR="00831E94" w:rsidSect="0010685D">
          <w:pgSz w:w="11907" w:h="16840" w:code="9"/>
          <w:pgMar w:top="1276" w:right="2552" w:bottom="851" w:left="1418" w:header="709" w:footer="556" w:gutter="0"/>
          <w:cols w:space="708"/>
          <w:docGrid w:linePitch="360"/>
        </w:sectPr>
      </w:pPr>
      <w:r>
        <w:t xml:space="preserve">Each regression model used one or a combination of treatment variables, which categorises the number of hours worked in each school year level between Years 10, 11 and 12. </w:t>
      </w:r>
    </w:p>
    <w:p w14:paraId="15F4D65A" w14:textId="33F4DE56" w:rsidR="00831E94" w:rsidRDefault="00831E94" w:rsidP="001A45D0">
      <w:pPr>
        <w:pStyle w:val="Text"/>
      </w:pPr>
    </w:p>
    <w:p w14:paraId="4EAC88B1" w14:textId="640459C5" w:rsidR="00407F0A" w:rsidRDefault="00407F0A" w:rsidP="00B1704F">
      <w:pPr>
        <w:pStyle w:val="Heading2"/>
        <w:spacing w:before="0"/>
      </w:pPr>
      <w:bookmarkStart w:id="259" w:name="_Toc15048967"/>
      <w:bookmarkStart w:id="260" w:name="_Toc19803980"/>
      <w:r>
        <w:t>Results</w:t>
      </w:r>
      <w:bookmarkEnd w:id="259"/>
      <w:bookmarkEnd w:id="260"/>
    </w:p>
    <w:p w14:paraId="4C04DC98" w14:textId="77777777" w:rsidR="00407F0A" w:rsidRDefault="00407F0A" w:rsidP="00407F0A">
      <w:pPr>
        <w:pStyle w:val="Heading3"/>
      </w:pPr>
      <w:r>
        <w:t>Descriptive analysis</w:t>
      </w:r>
    </w:p>
    <w:p w14:paraId="718F9B71" w14:textId="71CD62F4" w:rsidR="00407F0A" w:rsidRDefault="00407F0A" w:rsidP="00632DBB">
      <w:pPr>
        <w:pStyle w:val="Text"/>
      </w:pPr>
      <w:r>
        <w:t>The Australian Bureau of Statistics</w:t>
      </w:r>
      <w:r w:rsidR="000F5279">
        <w:t xml:space="preserve"> (ABS)</w:t>
      </w:r>
      <w:r>
        <w:t xml:space="preserve"> reports participation in employment amongst 15 to 19-year-olds still at school in its monthly </w:t>
      </w:r>
      <w:r w:rsidR="0015191F">
        <w:t>Labour Force Survey</w:t>
      </w:r>
      <w:r>
        <w:t>. In August</w:t>
      </w:r>
      <w:r w:rsidRPr="00831E94">
        <w:rPr>
          <w:rStyle w:val="FootnoteReference"/>
          <w:rFonts w:ascii="Trebuchet MS" w:hAnsi="Trebuchet MS"/>
          <w:vertAlign w:val="superscript"/>
        </w:rPr>
        <w:footnoteReference w:id="11"/>
      </w:r>
      <w:r w:rsidRPr="0015191F">
        <w:t xml:space="preserve"> </w:t>
      </w:r>
      <w:r>
        <w:t xml:space="preserve">2008, for the 800 000 15 to 19-year-olds who were still at school, around a third (or 297 000) were working (in either full-time or part-time employment). The proportions combining school and work are illustrated in </w:t>
      </w:r>
      <w:r w:rsidR="00B37B51">
        <w:t>f</w:t>
      </w:r>
      <w:r>
        <w:t xml:space="preserve">igure </w:t>
      </w:r>
      <w:r w:rsidR="00DB7F76">
        <w:t>18</w:t>
      </w:r>
      <w:r>
        <w:t>.</w:t>
      </w:r>
    </w:p>
    <w:p w14:paraId="2D4B314B" w14:textId="12630D2C" w:rsidR="00407F0A" w:rsidRPr="006E465A" w:rsidRDefault="00407F0A" w:rsidP="00632DBB">
      <w:pPr>
        <w:pStyle w:val="Figuretitle"/>
      </w:pPr>
      <w:bookmarkStart w:id="261" w:name="_Toc19001705"/>
      <w:r>
        <w:rPr>
          <w:noProof/>
          <w:lang w:eastAsia="en-AU"/>
        </w:rPr>
        <w:drawing>
          <wp:anchor distT="0" distB="0" distL="114300" distR="114300" simplePos="0" relativeHeight="252022784" behindDoc="0" locked="0" layoutInCell="1" allowOverlap="1" wp14:anchorId="2AABDC63" wp14:editId="137D1058">
            <wp:simplePos x="0" y="0"/>
            <wp:positionH relativeFrom="margin">
              <wp:posOffset>-48260</wp:posOffset>
            </wp:positionH>
            <wp:positionV relativeFrom="paragraph">
              <wp:posOffset>401955</wp:posOffset>
            </wp:positionV>
            <wp:extent cx="4837430" cy="2772410"/>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4837430" cy="27724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t xml:space="preserve">Figure </w:t>
      </w:r>
      <w:r w:rsidR="00AB293C">
        <w:rPr>
          <w:noProof/>
        </w:rPr>
        <w:t>18</w:t>
      </w:r>
      <w:r>
        <w:tab/>
        <w:t>Proportion</w:t>
      </w:r>
      <w:r w:rsidRPr="006E465A">
        <w:t xml:space="preserve"> of </w:t>
      </w:r>
      <w:r>
        <w:t>15 to 19-year-olds at school who are employed, August 1986–2008</w:t>
      </w:r>
      <w:bookmarkEnd w:id="261"/>
    </w:p>
    <w:p w14:paraId="37270ECD" w14:textId="2A179A06" w:rsidR="00632DBB" w:rsidRDefault="00632DBB" w:rsidP="00632DBB">
      <w:pPr>
        <w:pStyle w:val="Source"/>
        <w:rPr>
          <w:rStyle w:val="FootnoteTextChar"/>
        </w:rPr>
      </w:pPr>
      <w:r>
        <w:rPr>
          <w:rStyle w:val="FootnoteTextChar"/>
        </w:rPr>
        <w:t>S</w:t>
      </w:r>
      <w:r w:rsidRPr="00AF3E53">
        <w:rPr>
          <w:rStyle w:val="FootnoteTextChar"/>
        </w:rPr>
        <w:t>ource:</w:t>
      </w:r>
      <w:r>
        <w:rPr>
          <w:rStyle w:val="FootnoteTextChar"/>
        </w:rPr>
        <w:tab/>
      </w:r>
      <w:r w:rsidRPr="00AF3E53">
        <w:rPr>
          <w:rStyle w:val="FootnoteTextChar"/>
        </w:rPr>
        <w:t xml:space="preserve">ABS labour force </w:t>
      </w:r>
      <w:r>
        <w:rPr>
          <w:rStyle w:val="FootnoteTextChar"/>
        </w:rPr>
        <w:t>status (ST LM3) by sex, age (15</w:t>
      </w:r>
      <w:r w:rsidR="00A2057E">
        <w:rPr>
          <w:rStyle w:val="FootnoteTextChar"/>
        </w:rPr>
        <w:t>−</w:t>
      </w:r>
      <w:r w:rsidRPr="00AF3E53">
        <w:rPr>
          <w:rStyle w:val="FootnoteTextChar"/>
        </w:rPr>
        <w:t xml:space="preserve">24), </w:t>
      </w:r>
      <w:r>
        <w:rPr>
          <w:rStyle w:val="FootnoteTextChar"/>
        </w:rPr>
        <w:t>age 15</w:t>
      </w:r>
      <w:r w:rsidR="00A2057E">
        <w:rPr>
          <w:rStyle w:val="FootnoteTextChar"/>
        </w:rPr>
        <w:t>−</w:t>
      </w:r>
      <w:r>
        <w:rPr>
          <w:rStyle w:val="FootnoteTextChar"/>
        </w:rPr>
        <w:t xml:space="preserve">19 years only, at school, </w:t>
      </w:r>
      <w:r w:rsidRPr="00AF3E53">
        <w:rPr>
          <w:rStyle w:val="FootnoteTextChar"/>
        </w:rPr>
        <w:t>from April 1986</w:t>
      </w:r>
      <w:r>
        <w:rPr>
          <w:rStyle w:val="FootnoteTextChar"/>
        </w:rPr>
        <w:t>.</w:t>
      </w:r>
    </w:p>
    <w:p w14:paraId="24CD9B91" w14:textId="01FB88BD" w:rsidR="00407F0A" w:rsidRDefault="00407F0A" w:rsidP="00632DBB">
      <w:pPr>
        <w:pStyle w:val="Text"/>
      </w:pPr>
      <w:r>
        <w:t xml:space="preserve">In 2008, females were more likely to work than males, increasing by around </w:t>
      </w:r>
      <w:r w:rsidR="00A2057E">
        <w:t>10</w:t>
      </w:r>
      <w:r>
        <w:t xml:space="preserve"> percentage points per decade since 1986. Their rates have declined, however, since peaking at 40.5% in 2006. The trend for males was </w:t>
      </w:r>
      <w:proofErr w:type="gramStart"/>
      <w:r>
        <w:t>similar to</w:t>
      </w:r>
      <w:proofErr w:type="gramEnd"/>
      <w:r>
        <w:t xml:space="preserve"> females between 1986 and 2008, although a little more modest, peaking at 30.5% in 2001. The proportion of males combining school and work has remained relatively constant between 2006 and 2008.</w:t>
      </w:r>
    </w:p>
    <w:p w14:paraId="7ED5DB92" w14:textId="6F6297B6" w:rsidR="00407F0A" w:rsidRDefault="00407F0A" w:rsidP="00632DBB">
      <w:pPr>
        <w:pStyle w:val="Text"/>
      </w:pPr>
      <w:r>
        <w:t>In the LSAY Y03 cohort, almost half of all students in Years 9 through to 12 were combining part-time work and school, with slightly higher rates for females</w:t>
      </w:r>
      <w:r w:rsidR="00D12EF8">
        <w:rPr>
          <w:rStyle w:val="FootnoteReference"/>
        </w:rPr>
        <w:footnoteReference w:id="12"/>
      </w:r>
      <w:r>
        <w:t>.</w:t>
      </w:r>
    </w:p>
    <w:p w14:paraId="7F14A39D" w14:textId="77777777" w:rsidR="0010685D" w:rsidRDefault="0010685D" w:rsidP="00407F0A">
      <w:pPr>
        <w:pStyle w:val="tabletitle0"/>
        <w:sectPr w:rsidR="0010685D" w:rsidSect="0010685D">
          <w:pgSz w:w="11907" w:h="16840" w:code="9"/>
          <w:pgMar w:top="1276" w:right="2552" w:bottom="851" w:left="1418" w:header="709" w:footer="556" w:gutter="0"/>
          <w:cols w:space="708"/>
          <w:docGrid w:linePitch="360"/>
        </w:sectPr>
      </w:pPr>
      <w:bookmarkStart w:id="262" w:name="_Toc297729166"/>
    </w:p>
    <w:p w14:paraId="6D555E55" w14:textId="2FC129F8" w:rsidR="00407F0A" w:rsidRDefault="00407F0A" w:rsidP="0091784F">
      <w:pPr>
        <w:pStyle w:val="Figuretitle"/>
      </w:pPr>
      <w:bookmarkStart w:id="263" w:name="_Toc19001678"/>
      <w:r>
        <w:lastRenderedPageBreak/>
        <w:t xml:space="preserve">Table </w:t>
      </w:r>
      <w:r w:rsidR="00AB293C">
        <w:t>2</w:t>
      </w:r>
      <w:r>
        <w:fldChar w:fldCharType="begin"/>
      </w:r>
      <w:r>
        <w:instrText xml:space="preserve"> SEQ Table \* ARABIC </w:instrText>
      </w:r>
      <w:r>
        <w:fldChar w:fldCharType="separate"/>
      </w:r>
      <w:r w:rsidR="00BE614C">
        <w:rPr>
          <w:noProof/>
        </w:rPr>
        <w:t>1</w:t>
      </w:r>
      <w:r>
        <w:rPr>
          <w:noProof/>
        </w:rPr>
        <w:fldChar w:fldCharType="end"/>
      </w:r>
      <w:r>
        <w:tab/>
      </w:r>
      <w:r w:rsidRPr="006E465A">
        <w:t>Percentage of respondents working in</w:t>
      </w:r>
      <w:r>
        <w:t xml:space="preserve"> each school year level, Y03, 2003–</w:t>
      </w:r>
      <w:r w:rsidRPr="006E465A">
        <w:t>07</w:t>
      </w:r>
      <w:bookmarkEnd w:id="262"/>
      <w:bookmarkEnd w:id="263"/>
    </w:p>
    <w:tbl>
      <w:tblPr>
        <w:tblW w:w="8505" w:type="dxa"/>
        <w:tblBorders>
          <w:top w:val="single" w:sz="4" w:space="0" w:color="auto"/>
          <w:bottom w:val="single" w:sz="4" w:space="0" w:color="auto"/>
        </w:tblBorders>
        <w:tblLayout w:type="fixed"/>
        <w:tblLook w:val="0000" w:firstRow="0" w:lastRow="0" w:firstColumn="0" w:lastColumn="0" w:noHBand="0" w:noVBand="0"/>
      </w:tblPr>
      <w:tblGrid>
        <w:gridCol w:w="2924"/>
        <w:gridCol w:w="1395"/>
        <w:gridCol w:w="1395"/>
        <w:gridCol w:w="1395"/>
        <w:gridCol w:w="1396"/>
      </w:tblGrid>
      <w:tr w:rsidR="00407F0A" w:rsidRPr="006E465A" w14:paraId="1E212109" w14:textId="77777777" w:rsidTr="00680561">
        <w:tc>
          <w:tcPr>
            <w:tcW w:w="2924" w:type="dxa"/>
            <w:tcBorders>
              <w:top w:val="single" w:sz="4" w:space="0" w:color="auto"/>
              <w:bottom w:val="single" w:sz="4" w:space="0" w:color="auto"/>
            </w:tcBorders>
            <w:shd w:val="clear" w:color="auto" w:fill="auto"/>
            <w:noWrap/>
          </w:tcPr>
          <w:p w14:paraId="7F10CB1A" w14:textId="77777777" w:rsidR="00407F0A" w:rsidRPr="006E465A" w:rsidRDefault="00407F0A" w:rsidP="000B6FB4">
            <w:pPr>
              <w:pStyle w:val="Tablehead1"/>
            </w:pPr>
            <w:r w:rsidRPr="006E465A">
              <w:t>Working</w:t>
            </w:r>
          </w:p>
        </w:tc>
        <w:tc>
          <w:tcPr>
            <w:tcW w:w="1395" w:type="dxa"/>
            <w:tcBorders>
              <w:top w:val="single" w:sz="4" w:space="0" w:color="auto"/>
              <w:bottom w:val="single" w:sz="4" w:space="0" w:color="auto"/>
            </w:tcBorders>
            <w:shd w:val="clear" w:color="auto" w:fill="auto"/>
            <w:noWrap/>
          </w:tcPr>
          <w:p w14:paraId="424C97C3" w14:textId="77777777" w:rsidR="00407F0A" w:rsidRPr="006E465A" w:rsidRDefault="00407F0A" w:rsidP="000B6FB4">
            <w:pPr>
              <w:pStyle w:val="Tablehead1"/>
              <w:jc w:val="center"/>
            </w:pPr>
            <w:r w:rsidRPr="006E465A">
              <w:t>Year 9</w:t>
            </w:r>
          </w:p>
        </w:tc>
        <w:tc>
          <w:tcPr>
            <w:tcW w:w="1395" w:type="dxa"/>
            <w:tcBorders>
              <w:top w:val="single" w:sz="4" w:space="0" w:color="auto"/>
              <w:bottom w:val="single" w:sz="4" w:space="0" w:color="auto"/>
            </w:tcBorders>
            <w:shd w:val="clear" w:color="auto" w:fill="auto"/>
            <w:noWrap/>
          </w:tcPr>
          <w:p w14:paraId="0F66DC4C" w14:textId="77777777" w:rsidR="00407F0A" w:rsidRPr="006E465A" w:rsidRDefault="00407F0A" w:rsidP="000B6FB4">
            <w:pPr>
              <w:pStyle w:val="Tablehead1"/>
              <w:jc w:val="center"/>
            </w:pPr>
            <w:r w:rsidRPr="006E465A">
              <w:t>Year 10</w:t>
            </w:r>
          </w:p>
        </w:tc>
        <w:tc>
          <w:tcPr>
            <w:tcW w:w="1395" w:type="dxa"/>
            <w:tcBorders>
              <w:top w:val="single" w:sz="4" w:space="0" w:color="auto"/>
              <w:bottom w:val="single" w:sz="4" w:space="0" w:color="auto"/>
            </w:tcBorders>
            <w:shd w:val="clear" w:color="auto" w:fill="auto"/>
            <w:noWrap/>
          </w:tcPr>
          <w:p w14:paraId="781E1BE2" w14:textId="77777777" w:rsidR="00407F0A" w:rsidRPr="006E465A" w:rsidRDefault="00407F0A" w:rsidP="000B6FB4">
            <w:pPr>
              <w:pStyle w:val="Tablehead1"/>
              <w:jc w:val="center"/>
            </w:pPr>
            <w:r w:rsidRPr="006E465A">
              <w:t>Year 11</w:t>
            </w:r>
          </w:p>
        </w:tc>
        <w:tc>
          <w:tcPr>
            <w:tcW w:w="1396" w:type="dxa"/>
            <w:tcBorders>
              <w:top w:val="single" w:sz="4" w:space="0" w:color="auto"/>
              <w:bottom w:val="single" w:sz="4" w:space="0" w:color="auto"/>
            </w:tcBorders>
            <w:shd w:val="clear" w:color="auto" w:fill="auto"/>
            <w:noWrap/>
          </w:tcPr>
          <w:p w14:paraId="3620A9DC" w14:textId="77777777" w:rsidR="00407F0A" w:rsidRPr="006E465A" w:rsidRDefault="00407F0A" w:rsidP="000B6FB4">
            <w:pPr>
              <w:pStyle w:val="Tablehead1"/>
              <w:jc w:val="center"/>
            </w:pPr>
            <w:r w:rsidRPr="006E465A">
              <w:t>Year 12</w:t>
            </w:r>
          </w:p>
        </w:tc>
      </w:tr>
      <w:tr w:rsidR="00407F0A" w:rsidRPr="00095090" w14:paraId="06A974B4" w14:textId="77777777" w:rsidTr="00680561">
        <w:tc>
          <w:tcPr>
            <w:tcW w:w="2924" w:type="dxa"/>
            <w:tcBorders>
              <w:top w:val="single" w:sz="4" w:space="0" w:color="auto"/>
            </w:tcBorders>
            <w:shd w:val="clear" w:color="auto" w:fill="auto"/>
            <w:noWrap/>
          </w:tcPr>
          <w:p w14:paraId="77FD0E03" w14:textId="77777777" w:rsidR="00407F0A" w:rsidRPr="00095090" w:rsidRDefault="00407F0A" w:rsidP="000B6FB4">
            <w:pPr>
              <w:pStyle w:val="Tabletext"/>
              <w:rPr>
                <w:b/>
              </w:rPr>
            </w:pPr>
            <w:r w:rsidRPr="00095090">
              <w:rPr>
                <w:b/>
              </w:rPr>
              <w:t>Average age at interview</w:t>
            </w:r>
          </w:p>
        </w:tc>
        <w:tc>
          <w:tcPr>
            <w:tcW w:w="1395" w:type="dxa"/>
            <w:tcBorders>
              <w:top w:val="single" w:sz="4" w:space="0" w:color="auto"/>
            </w:tcBorders>
            <w:shd w:val="clear" w:color="auto" w:fill="auto"/>
            <w:noWrap/>
          </w:tcPr>
          <w:p w14:paraId="420F8EB0" w14:textId="77777777" w:rsidR="00407F0A" w:rsidRPr="00095090" w:rsidRDefault="00407F0A" w:rsidP="000B6FB4">
            <w:pPr>
              <w:pStyle w:val="Tabletext"/>
              <w:tabs>
                <w:tab w:val="decimal" w:pos="624"/>
              </w:tabs>
              <w:rPr>
                <w:b/>
              </w:rPr>
            </w:pPr>
            <w:r w:rsidRPr="00095090">
              <w:rPr>
                <w:b/>
              </w:rPr>
              <w:t>15.7</w:t>
            </w:r>
          </w:p>
        </w:tc>
        <w:tc>
          <w:tcPr>
            <w:tcW w:w="1395" w:type="dxa"/>
            <w:tcBorders>
              <w:top w:val="single" w:sz="4" w:space="0" w:color="auto"/>
            </w:tcBorders>
            <w:shd w:val="clear" w:color="auto" w:fill="auto"/>
            <w:noWrap/>
          </w:tcPr>
          <w:p w14:paraId="69E1CAAE" w14:textId="77777777" w:rsidR="00407F0A" w:rsidRPr="00095090" w:rsidRDefault="00407F0A" w:rsidP="000B6FB4">
            <w:pPr>
              <w:pStyle w:val="Tabletext"/>
              <w:tabs>
                <w:tab w:val="decimal" w:pos="624"/>
              </w:tabs>
              <w:rPr>
                <w:b/>
              </w:rPr>
            </w:pPr>
            <w:r w:rsidRPr="00095090">
              <w:rPr>
                <w:b/>
              </w:rPr>
              <w:t>16.7</w:t>
            </w:r>
          </w:p>
        </w:tc>
        <w:tc>
          <w:tcPr>
            <w:tcW w:w="1395" w:type="dxa"/>
            <w:tcBorders>
              <w:top w:val="single" w:sz="4" w:space="0" w:color="auto"/>
            </w:tcBorders>
            <w:shd w:val="clear" w:color="auto" w:fill="auto"/>
            <w:noWrap/>
          </w:tcPr>
          <w:p w14:paraId="16295FC3" w14:textId="77777777" w:rsidR="00407F0A" w:rsidRPr="00095090" w:rsidRDefault="00407F0A" w:rsidP="000B6FB4">
            <w:pPr>
              <w:pStyle w:val="Tabletext"/>
              <w:tabs>
                <w:tab w:val="decimal" w:pos="624"/>
              </w:tabs>
              <w:rPr>
                <w:b/>
              </w:rPr>
            </w:pPr>
            <w:r w:rsidRPr="00095090">
              <w:rPr>
                <w:b/>
              </w:rPr>
              <w:t>17.7</w:t>
            </w:r>
          </w:p>
        </w:tc>
        <w:tc>
          <w:tcPr>
            <w:tcW w:w="1396" w:type="dxa"/>
            <w:tcBorders>
              <w:top w:val="single" w:sz="4" w:space="0" w:color="auto"/>
            </w:tcBorders>
            <w:shd w:val="clear" w:color="auto" w:fill="auto"/>
            <w:noWrap/>
          </w:tcPr>
          <w:p w14:paraId="4C4B7A8E" w14:textId="77777777" w:rsidR="00407F0A" w:rsidRPr="00095090" w:rsidRDefault="00407F0A" w:rsidP="000B6FB4">
            <w:pPr>
              <w:pStyle w:val="Tabletext"/>
              <w:tabs>
                <w:tab w:val="decimal" w:pos="624"/>
              </w:tabs>
              <w:rPr>
                <w:b/>
              </w:rPr>
            </w:pPr>
            <w:r w:rsidRPr="00095090">
              <w:rPr>
                <w:b/>
              </w:rPr>
              <w:t>18.7</w:t>
            </w:r>
          </w:p>
        </w:tc>
      </w:tr>
      <w:tr w:rsidR="00407F0A" w:rsidRPr="006E465A" w14:paraId="0029A085" w14:textId="77777777" w:rsidTr="00680561">
        <w:tc>
          <w:tcPr>
            <w:tcW w:w="2924" w:type="dxa"/>
            <w:shd w:val="clear" w:color="auto" w:fill="auto"/>
            <w:noWrap/>
          </w:tcPr>
          <w:p w14:paraId="2DEECC13" w14:textId="77777777" w:rsidR="00407F0A" w:rsidRPr="006E465A" w:rsidRDefault="00407F0A" w:rsidP="000B6FB4">
            <w:pPr>
              <w:pStyle w:val="Tabletext"/>
              <w:ind w:left="227"/>
            </w:pPr>
            <w:r w:rsidRPr="006E465A">
              <w:t>Males (n)</w:t>
            </w:r>
          </w:p>
        </w:tc>
        <w:tc>
          <w:tcPr>
            <w:tcW w:w="1395" w:type="dxa"/>
            <w:shd w:val="clear" w:color="auto" w:fill="auto"/>
            <w:noWrap/>
          </w:tcPr>
          <w:p w14:paraId="3D17AE99" w14:textId="77777777" w:rsidR="00407F0A" w:rsidRPr="006E465A" w:rsidRDefault="00407F0A" w:rsidP="000B6FB4">
            <w:pPr>
              <w:pStyle w:val="Tabletext"/>
              <w:tabs>
                <w:tab w:val="decimal" w:pos="624"/>
              </w:tabs>
            </w:pPr>
            <w:r>
              <w:t xml:space="preserve">          </w:t>
            </w:r>
            <w:r w:rsidRPr="006E465A">
              <w:t>204</w:t>
            </w:r>
          </w:p>
        </w:tc>
        <w:tc>
          <w:tcPr>
            <w:tcW w:w="1395" w:type="dxa"/>
            <w:shd w:val="clear" w:color="auto" w:fill="auto"/>
            <w:noWrap/>
          </w:tcPr>
          <w:p w14:paraId="5091F82D" w14:textId="77777777" w:rsidR="00407F0A" w:rsidRPr="006E465A" w:rsidRDefault="00407F0A" w:rsidP="000B6FB4">
            <w:pPr>
              <w:pStyle w:val="Tabletext"/>
              <w:tabs>
                <w:tab w:val="decimal" w:pos="624"/>
              </w:tabs>
            </w:pPr>
            <w:r>
              <w:t xml:space="preserve">        1</w:t>
            </w:r>
            <w:r w:rsidRPr="006E465A">
              <w:t>903</w:t>
            </w:r>
          </w:p>
        </w:tc>
        <w:tc>
          <w:tcPr>
            <w:tcW w:w="1395" w:type="dxa"/>
            <w:shd w:val="clear" w:color="auto" w:fill="auto"/>
            <w:noWrap/>
          </w:tcPr>
          <w:p w14:paraId="0AEAB2F6" w14:textId="77777777" w:rsidR="00407F0A" w:rsidRPr="006E465A" w:rsidRDefault="00407F0A" w:rsidP="000B6FB4">
            <w:pPr>
              <w:pStyle w:val="Tabletext"/>
              <w:tabs>
                <w:tab w:val="decimal" w:pos="624"/>
              </w:tabs>
            </w:pPr>
            <w:r>
              <w:t xml:space="preserve">        2</w:t>
            </w:r>
            <w:r w:rsidRPr="006E465A">
              <w:t>069</w:t>
            </w:r>
          </w:p>
        </w:tc>
        <w:tc>
          <w:tcPr>
            <w:tcW w:w="1396" w:type="dxa"/>
            <w:shd w:val="clear" w:color="auto" w:fill="auto"/>
            <w:noWrap/>
          </w:tcPr>
          <w:p w14:paraId="68E04E52" w14:textId="77777777" w:rsidR="00407F0A" w:rsidRPr="006E465A" w:rsidRDefault="00407F0A" w:rsidP="000B6FB4">
            <w:pPr>
              <w:pStyle w:val="Tabletext"/>
              <w:tabs>
                <w:tab w:val="decimal" w:pos="624"/>
              </w:tabs>
            </w:pPr>
            <w:r>
              <w:t xml:space="preserve">       1</w:t>
            </w:r>
            <w:r w:rsidRPr="006E465A">
              <w:t>654</w:t>
            </w:r>
          </w:p>
        </w:tc>
      </w:tr>
      <w:tr w:rsidR="00407F0A" w:rsidRPr="006E465A" w14:paraId="5FA57010" w14:textId="77777777" w:rsidTr="00680561">
        <w:tc>
          <w:tcPr>
            <w:tcW w:w="2924" w:type="dxa"/>
            <w:shd w:val="clear" w:color="auto" w:fill="auto"/>
            <w:noWrap/>
          </w:tcPr>
          <w:p w14:paraId="57FFC40A" w14:textId="77777777" w:rsidR="00407F0A" w:rsidRPr="006E465A" w:rsidRDefault="00407F0A" w:rsidP="000B6FB4">
            <w:pPr>
              <w:pStyle w:val="Tabletext"/>
              <w:ind w:left="227"/>
            </w:pPr>
            <w:r w:rsidRPr="006E465A">
              <w:t>% working</w:t>
            </w:r>
          </w:p>
        </w:tc>
        <w:tc>
          <w:tcPr>
            <w:tcW w:w="1395" w:type="dxa"/>
            <w:shd w:val="clear" w:color="auto" w:fill="auto"/>
            <w:noWrap/>
          </w:tcPr>
          <w:p w14:paraId="0A10968B" w14:textId="77777777" w:rsidR="00407F0A" w:rsidRPr="006E465A" w:rsidRDefault="00407F0A" w:rsidP="000B6FB4">
            <w:pPr>
              <w:pStyle w:val="Tabletext"/>
              <w:tabs>
                <w:tab w:val="decimal" w:pos="624"/>
              </w:tabs>
            </w:pPr>
            <w:r>
              <w:t>39.3</w:t>
            </w:r>
          </w:p>
        </w:tc>
        <w:tc>
          <w:tcPr>
            <w:tcW w:w="1395" w:type="dxa"/>
            <w:shd w:val="clear" w:color="auto" w:fill="auto"/>
            <w:noWrap/>
          </w:tcPr>
          <w:p w14:paraId="396C0B5E" w14:textId="77777777" w:rsidR="00407F0A" w:rsidRPr="006E465A" w:rsidRDefault="00407F0A" w:rsidP="000B6FB4">
            <w:pPr>
              <w:pStyle w:val="Tabletext"/>
              <w:tabs>
                <w:tab w:val="decimal" w:pos="624"/>
              </w:tabs>
            </w:pPr>
            <w:r>
              <w:t>47.1</w:t>
            </w:r>
          </w:p>
        </w:tc>
        <w:tc>
          <w:tcPr>
            <w:tcW w:w="1395" w:type="dxa"/>
            <w:shd w:val="clear" w:color="auto" w:fill="auto"/>
            <w:noWrap/>
          </w:tcPr>
          <w:p w14:paraId="00FCE9D2" w14:textId="77777777" w:rsidR="00407F0A" w:rsidRPr="006E465A" w:rsidRDefault="00407F0A" w:rsidP="000B6FB4">
            <w:pPr>
              <w:pStyle w:val="Tabletext"/>
              <w:tabs>
                <w:tab w:val="decimal" w:pos="624"/>
              </w:tabs>
            </w:pPr>
            <w:r>
              <w:t>51.0</w:t>
            </w:r>
          </w:p>
        </w:tc>
        <w:tc>
          <w:tcPr>
            <w:tcW w:w="1396" w:type="dxa"/>
            <w:shd w:val="clear" w:color="auto" w:fill="auto"/>
            <w:noWrap/>
          </w:tcPr>
          <w:p w14:paraId="01A2DA82" w14:textId="77777777" w:rsidR="00407F0A" w:rsidRPr="006E465A" w:rsidRDefault="00407F0A" w:rsidP="000B6FB4">
            <w:pPr>
              <w:pStyle w:val="Tabletext"/>
              <w:tabs>
                <w:tab w:val="decimal" w:pos="624"/>
              </w:tabs>
            </w:pPr>
            <w:r>
              <w:t>51.9</w:t>
            </w:r>
          </w:p>
        </w:tc>
      </w:tr>
      <w:tr w:rsidR="00407F0A" w:rsidRPr="006E465A" w14:paraId="1A24A93F" w14:textId="77777777" w:rsidTr="00680561">
        <w:tc>
          <w:tcPr>
            <w:tcW w:w="2924" w:type="dxa"/>
            <w:shd w:val="clear" w:color="auto" w:fill="auto"/>
            <w:noWrap/>
          </w:tcPr>
          <w:p w14:paraId="68C8FC0C" w14:textId="77777777" w:rsidR="00407F0A" w:rsidRPr="006E465A" w:rsidRDefault="00407F0A" w:rsidP="000B6FB4">
            <w:pPr>
              <w:pStyle w:val="Tabletext"/>
              <w:ind w:left="227"/>
            </w:pPr>
            <w:r>
              <w:t>Average hours worked*</w:t>
            </w:r>
          </w:p>
        </w:tc>
        <w:tc>
          <w:tcPr>
            <w:tcW w:w="1395" w:type="dxa"/>
            <w:shd w:val="clear" w:color="auto" w:fill="auto"/>
            <w:noWrap/>
          </w:tcPr>
          <w:p w14:paraId="017A4EFA" w14:textId="77777777" w:rsidR="00407F0A" w:rsidRPr="006E465A" w:rsidRDefault="00407F0A" w:rsidP="000B6FB4">
            <w:pPr>
              <w:pStyle w:val="Tabletext"/>
              <w:tabs>
                <w:tab w:val="decimal" w:pos="624"/>
              </w:tabs>
            </w:pPr>
            <w:r>
              <w:t>11.8</w:t>
            </w:r>
          </w:p>
        </w:tc>
        <w:tc>
          <w:tcPr>
            <w:tcW w:w="1395" w:type="dxa"/>
            <w:shd w:val="clear" w:color="auto" w:fill="auto"/>
            <w:noWrap/>
          </w:tcPr>
          <w:p w14:paraId="4C346E8A" w14:textId="77777777" w:rsidR="00407F0A" w:rsidRPr="006E465A" w:rsidRDefault="00407F0A" w:rsidP="000B6FB4">
            <w:pPr>
              <w:pStyle w:val="Tabletext"/>
              <w:tabs>
                <w:tab w:val="decimal" w:pos="624"/>
              </w:tabs>
            </w:pPr>
            <w:r>
              <w:t>12.8</w:t>
            </w:r>
          </w:p>
        </w:tc>
        <w:tc>
          <w:tcPr>
            <w:tcW w:w="1395" w:type="dxa"/>
            <w:shd w:val="clear" w:color="auto" w:fill="auto"/>
            <w:noWrap/>
          </w:tcPr>
          <w:p w14:paraId="128173F0" w14:textId="77777777" w:rsidR="00407F0A" w:rsidRPr="006E465A" w:rsidRDefault="00407F0A" w:rsidP="000B6FB4">
            <w:pPr>
              <w:pStyle w:val="Tabletext"/>
              <w:tabs>
                <w:tab w:val="decimal" w:pos="624"/>
              </w:tabs>
            </w:pPr>
            <w:r>
              <w:t>12.4</w:t>
            </w:r>
          </w:p>
        </w:tc>
        <w:tc>
          <w:tcPr>
            <w:tcW w:w="1396" w:type="dxa"/>
            <w:shd w:val="clear" w:color="auto" w:fill="auto"/>
            <w:noWrap/>
          </w:tcPr>
          <w:p w14:paraId="0B4967ED" w14:textId="77777777" w:rsidR="00407F0A" w:rsidRPr="006E465A" w:rsidRDefault="00407F0A" w:rsidP="000B6FB4">
            <w:pPr>
              <w:pStyle w:val="Tabletext"/>
              <w:tabs>
                <w:tab w:val="decimal" w:pos="624"/>
              </w:tabs>
            </w:pPr>
            <w:r>
              <w:t>12.1</w:t>
            </w:r>
          </w:p>
        </w:tc>
      </w:tr>
      <w:tr w:rsidR="00407F0A" w:rsidRPr="006E465A" w14:paraId="621431CF" w14:textId="77777777" w:rsidTr="00680561">
        <w:tc>
          <w:tcPr>
            <w:tcW w:w="2924" w:type="dxa"/>
            <w:shd w:val="clear" w:color="auto" w:fill="auto"/>
            <w:noWrap/>
          </w:tcPr>
          <w:p w14:paraId="0B7D8791" w14:textId="77777777" w:rsidR="00407F0A" w:rsidRPr="006E465A" w:rsidRDefault="00407F0A" w:rsidP="000B6FB4">
            <w:pPr>
              <w:pStyle w:val="Tabletext"/>
              <w:ind w:left="227"/>
            </w:pPr>
            <w:r w:rsidRPr="006E465A">
              <w:t>Females (n)</w:t>
            </w:r>
          </w:p>
        </w:tc>
        <w:tc>
          <w:tcPr>
            <w:tcW w:w="1395" w:type="dxa"/>
            <w:shd w:val="clear" w:color="auto" w:fill="auto"/>
            <w:noWrap/>
          </w:tcPr>
          <w:p w14:paraId="69C6898F" w14:textId="77777777" w:rsidR="00407F0A" w:rsidRPr="006E465A" w:rsidRDefault="00407F0A" w:rsidP="000B6FB4">
            <w:pPr>
              <w:pStyle w:val="Tabletext"/>
              <w:tabs>
                <w:tab w:val="decimal" w:pos="624"/>
              </w:tabs>
            </w:pPr>
            <w:r>
              <w:t xml:space="preserve">          </w:t>
            </w:r>
            <w:r w:rsidRPr="006E465A">
              <w:t>168</w:t>
            </w:r>
          </w:p>
        </w:tc>
        <w:tc>
          <w:tcPr>
            <w:tcW w:w="1395" w:type="dxa"/>
            <w:shd w:val="clear" w:color="auto" w:fill="auto"/>
            <w:noWrap/>
          </w:tcPr>
          <w:p w14:paraId="00982286" w14:textId="77777777" w:rsidR="00407F0A" w:rsidRPr="006E465A" w:rsidRDefault="00407F0A" w:rsidP="000B6FB4">
            <w:pPr>
              <w:pStyle w:val="Tabletext"/>
              <w:tabs>
                <w:tab w:val="decimal" w:pos="624"/>
              </w:tabs>
            </w:pPr>
            <w:r>
              <w:t xml:space="preserve">        2</w:t>
            </w:r>
            <w:r w:rsidRPr="006E465A">
              <w:t>193</w:t>
            </w:r>
          </w:p>
        </w:tc>
        <w:tc>
          <w:tcPr>
            <w:tcW w:w="1395" w:type="dxa"/>
            <w:shd w:val="clear" w:color="auto" w:fill="auto"/>
            <w:noWrap/>
          </w:tcPr>
          <w:p w14:paraId="67710D8C" w14:textId="77777777" w:rsidR="00407F0A" w:rsidRPr="006E465A" w:rsidRDefault="00407F0A" w:rsidP="000B6FB4">
            <w:pPr>
              <w:pStyle w:val="Tabletext"/>
              <w:tabs>
                <w:tab w:val="decimal" w:pos="624"/>
              </w:tabs>
            </w:pPr>
            <w:r>
              <w:t xml:space="preserve">        2</w:t>
            </w:r>
            <w:r w:rsidRPr="006E465A">
              <w:t>623</w:t>
            </w:r>
          </w:p>
        </w:tc>
        <w:tc>
          <w:tcPr>
            <w:tcW w:w="1396" w:type="dxa"/>
            <w:shd w:val="clear" w:color="auto" w:fill="auto"/>
            <w:noWrap/>
          </w:tcPr>
          <w:p w14:paraId="7721ADC4" w14:textId="77777777" w:rsidR="00407F0A" w:rsidRPr="006E465A" w:rsidRDefault="00407F0A" w:rsidP="000B6FB4">
            <w:pPr>
              <w:pStyle w:val="Tabletext"/>
              <w:tabs>
                <w:tab w:val="decimal" w:pos="624"/>
              </w:tabs>
            </w:pPr>
            <w:r>
              <w:t xml:space="preserve">        2</w:t>
            </w:r>
            <w:r w:rsidRPr="006E465A">
              <w:t>230</w:t>
            </w:r>
          </w:p>
        </w:tc>
      </w:tr>
      <w:tr w:rsidR="00407F0A" w:rsidRPr="006E465A" w14:paraId="4333A99B" w14:textId="77777777" w:rsidTr="00680561">
        <w:tc>
          <w:tcPr>
            <w:tcW w:w="2924" w:type="dxa"/>
            <w:shd w:val="clear" w:color="auto" w:fill="auto"/>
            <w:noWrap/>
          </w:tcPr>
          <w:p w14:paraId="3BC7CAE9" w14:textId="77777777" w:rsidR="00407F0A" w:rsidRPr="006E465A" w:rsidRDefault="00407F0A" w:rsidP="000B6FB4">
            <w:pPr>
              <w:pStyle w:val="Tabletext"/>
              <w:ind w:left="227"/>
            </w:pPr>
            <w:r w:rsidRPr="006E465A">
              <w:t>% working</w:t>
            </w:r>
          </w:p>
        </w:tc>
        <w:tc>
          <w:tcPr>
            <w:tcW w:w="1395" w:type="dxa"/>
            <w:shd w:val="clear" w:color="auto" w:fill="auto"/>
            <w:noWrap/>
          </w:tcPr>
          <w:p w14:paraId="7AC01805" w14:textId="77777777" w:rsidR="00407F0A" w:rsidRPr="006E465A" w:rsidRDefault="00407F0A" w:rsidP="000B6FB4">
            <w:pPr>
              <w:pStyle w:val="Tabletext"/>
              <w:tabs>
                <w:tab w:val="decimal" w:pos="624"/>
              </w:tabs>
            </w:pPr>
            <w:r>
              <w:t>45.3</w:t>
            </w:r>
          </w:p>
        </w:tc>
        <w:tc>
          <w:tcPr>
            <w:tcW w:w="1395" w:type="dxa"/>
            <w:shd w:val="clear" w:color="auto" w:fill="auto"/>
            <w:noWrap/>
          </w:tcPr>
          <w:p w14:paraId="36666DAE" w14:textId="77777777" w:rsidR="00407F0A" w:rsidRPr="006E465A" w:rsidRDefault="00407F0A" w:rsidP="000B6FB4">
            <w:pPr>
              <w:pStyle w:val="Tabletext"/>
              <w:tabs>
                <w:tab w:val="decimal" w:pos="624"/>
              </w:tabs>
            </w:pPr>
            <w:r>
              <w:t>54.4</w:t>
            </w:r>
          </w:p>
        </w:tc>
        <w:tc>
          <w:tcPr>
            <w:tcW w:w="1395" w:type="dxa"/>
            <w:shd w:val="clear" w:color="auto" w:fill="auto"/>
            <w:noWrap/>
          </w:tcPr>
          <w:p w14:paraId="128A7B6A" w14:textId="77777777" w:rsidR="00407F0A" w:rsidRPr="006E465A" w:rsidRDefault="00407F0A" w:rsidP="000B6FB4">
            <w:pPr>
              <w:pStyle w:val="Tabletext"/>
              <w:tabs>
                <w:tab w:val="decimal" w:pos="624"/>
              </w:tabs>
            </w:pPr>
            <w:r>
              <w:t>60.3</w:t>
            </w:r>
          </w:p>
        </w:tc>
        <w:tc>
          <w:tcPr>
            <w:tcW w:w="1396" w:type="dxa"/>
            <w:shd w:val="clear" w:color="auto" w:fill="auto"/>
            <w:noWrap/>
          </w:tcPr>
          <w:p w14:paraId="65AD44C2" w14:textId="77777777" w:rsidR="00407F0A" w:rsidRPr="006E465A" w:rsidRDefault="00407F0A" w:rsidP="000B6FB4">
            <w:pPr>
              <w:pStyle w:val="Tabletext"/>
              <w:tabs>
                <w:tab w:val="decimal" w:pos="624"/>
              </w:tabs>
            </w:pPr>
            <w:r>
              <w:t>62.4</w:t>
            </w:r>
          </w:p>
        </w:tc>
      </w:tr>
      <w:tr w:rsidR="00407F0A" w:rsidRPr="006E465A" w14:paraId="2241AA50" w14:textId="77777777" w:rsidTr="00680561">
        <w:tc>
          <w:tcPr>
            <w:tcW w:w="2924" w:type="dxa"/>
            <w:shd w:val="clear" w:color="auto" w:fill="auto"/>
            <w:noWrap/>
          </w:tcPr>
          <w:p w14:paraId="2FFE8510" w14:textId="77777777" w:rsidR="00407F0A" w:rsidRPr="006E465A" w:rsidRDefault="00407F0A" w:rsidP="000B6FB4">
            <w:pPr>
              <w:pStyle w:val="Tabletext"/>
              <w:ind w:left="227"/>
            </w:pPr>
            <w:r>
              <w:t>Average hours worked*</w:t>
            </w:r>
          </w:p>
        </w:tc>
        <w:tc>
          <w:tcPr>
            <w:tcW w:w="1395" w:type="dxa"/>
            <w:shd w:val="clear" w:color="auto" w:fill="auto"/>
            <w:noWrap/>
          </w:tcPr>
          <w:p w14:paraId="524383EA" w14:textId="77777777" w:rsidR="00407F0A" w:rsidRPr="006E465A" w:rsidRDefault="00407F0A" w:rsidP="000B6FB4">
            <w:pPr>
              <w:pStyle w:val="Tabletext"/>
              <w:tabs>
                <w:tab w:val="decimal" w:pos="624"/>
              </w:tabs>
            </w:pPr>
            <w:r>
              <w:t>9.9</w:t>
            </w:r>
          </w:p>
        </w:tc>
        <w:tc>
          <w:tcPr>
            <w:tcW w:w="1395" w:type="dxa"/>
            <w:shd w:val="clear" w:color="auto" w:fill="auto"/>
            <w:noWrap/>
          </w:tcPr>
          <w:p w14:paraId="03287E54" w14:textId="77777777" w:rsidR="00407F0A" w:rsidRPr="006E465A" w:rsidRDefault="00407F0A" w:rsidP="000B6FB4">
            <w:pPr>
              <w:pStyle w:val="Tabletext"/>
              <w:tabs>
                <w:tab w:val="decimal" w:pos="624"/>
              </w:tabs>
            </w:pPr>
            <w:r>
              <w:t>11.4</w:t>
            </w:r>
          </w:p>
        </w:tc>
        <w:tc>
          <w:tcPr>
            <w:tcW w:w="1395" w:type="dxa"/>
            <w:shd w:val="clear" w:color="auto" w:fill="auto"/>
            <w:noWrap/>
          </w:tcPr>
          <w:p w14:paraId="43831995" w14:textId="77777777" w:rsidR="00407F0A" w:rsidRPr="006E465A" w:rsidRDefault="00407F0A" w:rsidP="000B6FB4">
            <w:pPr>
              <w:pStyle w:val="Tabletext"/>
              <w:tabs>
                <w:tab w:val="decimal" w:pos="624"/>
              </w:tabs>
            </w:pPr>
            <w:r>
              <w:t>11.2</w:t>
            </w:r>
          </w:p>
        </w:tc>
        <w:tc>
          <w:tcPr>
            <w:tcW w:w="1396" w:type="dxa"/>
            <w:shd w:val="clear" w:color="auto" w:fill="auto"/>
            <w:noWrap/>
          </w:tcPr>
          <w:p w14:paraId="17794466" w14:textId="77777777" w:rsidR="00407F0A" w:rsidRPr="006E465A" w:rsidRDefault="00407F0A" w:rsidP="000B6FB4">
            <w:pPr>
              <w:pStyle w:val="Tabletext"/>
              <w:tabs>
                <w:tab w:val="decimal" w:pos="624"/>
              </w:tabs>
            </w:pPr>
            <w:r>
              <w:t>10.8</w:t>
            </w:r>
          </w:p>
        </w:tc>
      </w:tr>
      <w:tr w:rsidR="00407F0A" w:rsidRPr="00095090" w14:paraId="129978C9" w14:textId="77777777" w:rsidTr="00680561">
        <w:tc>
          <w:tcPr>
            <w:tcW w:w="2924" w:type="dxa"/>
            <w:shd w:val="clear" w:color="auto" w:fill="auto"/>
            <w:noWrap/>
          </w:tcPr>
          <w:p w14:paraId="4C2F8DD0" w14:textId="77777777" w:rsidR="00407F0A" w:rsidRPr="00095090" w:rsidRDefault="00407F0A" w:rsidP="000B6FB4">
            <w:pPr>
              <w:pStyle w:val="Tabletext"/>
              <w:rPr>
                <w:b/>
              </w:rPr>
            </w:pPr>
            <w:r w:rsidRPr="00095090">
              <w:rPr>
                <w:b/>
              </w:rPr>
              <w:t>All (n)</w:t>
            </w:r>
          </w:p>
        </w:tc>
        <w:tc>
          <w:tcPr>
            <w:tcW w:w="1395" w:type="dxa"/>
            <w:shd w:val="clear" w:color="auto" w:fill="auto"/>
            <w:noWrap/>
          </w:tcPr>
          <w:p w14:paraId="57603ABB" w14:textId="77777777" w:rsidR="00407F0A" w:rsidRPr="00095090" w:rsidRDefault="00407F0A" w:rsidP="000B6FB4">
            <w:pPr>
              <w:pStyle w:val="Tabletext"/>
              <w:tabs>
                <w:tab w:val="decimal" w:pos="624"/>
              </w:tabs>
              <w:rPr>
                <w:b/>
              </w:rPr>
            </w:pPr>
            <w:r>
              <w:rPr>
                <w:b/>
              </w:rPr>
              <w:t xml:space="preserve">          </w:t>
            </w:r>
            <w:r w:rsidRPr="00095090">
              <w:rPr>
                <w:b/>
              </w:rPr>
              <w:t>372</w:t>
            </w:r>
          </w:p>
        </w:tc>
        <w:tc>
          <w:tcPr>
            <w:tcW w:w="1395" w:type="dxa"/>
            <w:shd w:val="clear" w:color="auto" w:fill="auto"/>
            <w:noWrap/>
          </w:tcPr>
          <w:p w14:paraId="21B9ED6E" w14:textId="77777777" w:rsidR="00407F0A" w:rsidRPr="00095090" w:rsidRDefault="00407F0A" w:rsidP="000B6FB4">
            <w:pPr>
              <w:pStyle w:val="Tabletext"/>
              <w:tabs>
                <w:tab w:val="decimal" w:pos="624"/>
              </w:tabs>
              <w:rPr>
                <w:b/>
              </w:rPr>
            </w:pPr>
            <w:r>
              <w:rPr>
                <w:b/>
              </w:rPr>
              <w:t xml:space="preserve">        4</w:t>
            </w:r>
            <w:r w:rsidRPr="00095090">
              <w:rPr>
                <w:b/>
              </w:rPr>
              <w:t>096</w:t>
            </w:r>
          </w:p>
        </w:tc>
        <w:tc>
          <w:tcPr>
            <w:tcW w:w="1395" w:type="dxa"/>
            <w:shd w:val="clear" w:color="auto" w:fill="auto"/>
            <w:noWrap/>
          </w:tcPr>
          <w:p w14:paraId="74D65219" w14:textId="77777777" w:rsidR="00407F0A" w:rsidRPr="00095090" w:rsidRDefault="00407F0A" w:rsidP="000B6FB4">
            <w:pPr>
              <w:pStyle w:val="Tabletext"/>
              <w:tabs>
                <w:tab w:val="decimal" w:pos="624"/>
              </w:tabs>
              <w:rPr>
                <w:b/>
              </w:rPr>
            </w:pPr>
            <w:r>
              <w:rPr>
                <w:b/>
              </w:rPr>
              <w:t xml:space="preserve">        4</w:t>
            </w:r>
            <w:r w:rsidRPr="00095090">
              <w:rPr>
                <w:b/>
              </w:rPr>
              <w:t>692</w:t>
            </w:r>
          </w:p>
        </w:tc>
        <w:tc>
          <w:tcPr>
            <w:tcW w:w="1396" w:type="dxa"/>
            <w:shd w:val="clear" w:color="auto" w:fill="auto"/>
            <w:noWrap/>
          </w:tcPr>
          <w:p w14:paraId="5D1891AD" w14:textId="77777777" w:rsidR="00407F0A" w:rsidRPr="00095090" w:rsidRDefault="00407F0A" w:rsidP="000B6FB4">
            <w:pPr>
              <w:pStyle w:val="Tabletext"/>
              <w:tabs>
                <w:tab w:val="decimal" w:pos="624"/>
              </w:tabs>
              <w:rPr>
                <w:b/>
              </w:rPr>
            </w:pPr>
            <w:r>
              <w:rPr>
                <w:b/>
              </w:rPr>
              <w:t xml:space="preserve">       3</w:t>
            </w:r>
            <w:r w:rsidRPr="00095090">
              <w:rPr>
                <w:b/>
              </w:rPr>
              <w:t>884</w:t>
            </w:r>
          </w:p>
        </w:tc>
      </w:tr>
      <w:tr w:rsidR="00407F0A" w:rsidRPr="006E465A" w14:paraId="36C15EF0" w14:textId="77777777" w:rsidTr="00680561">
        <w:tc>
          <w:tcPr>
            <w:tcW w:w="2924" w:type="dxa"/>
            <w:shd w:val="clear" w:color="auto" w:fill="auto"/>
            <w:noWrap/>
          </w:tcPr>
          <w:p w14:paraId="24BB6FD1" w14:textId="77777777" w:rsidR="00407F0A" w:rsidRPr="006E465A" w:rsidRDefault="00407F0A" w:rsidP="000B6FB4">
            <w:pPr>
              <w:pStyle w:val="Tabletext"/>
              <w:ind w:left="227"/>
            </w:pPr>
            <w:r w:rsidRPr="006E465A">
              <w:t>% working</w:t>
            </w:r>
          </w:p>
        </w:tc>
        <w:tc>
          <w:tcPr>
            <w:tcW w:w="1395" w:type="dxa"/>
            <w:shd w:val="clear" w:color="auto" w:fill="auto"/>
            <w:noWrap/>
          </w:tcPr>
          <w:p w14:paraId="45BD72A0" w14:textId="77777777" w:rsidR="00407F0A" w:rsidRPr="006E465A" w:rsidRDefault="00407F0A" w:rsidP="000B6FB4">
            <w:pPr>
              <w:pStyle w:val="Tabletext"/>
              <w:tabs>
                <w:tab w:val="decimal" w:pos="624"/>
              </w:tabs>
            </w:pPr>
            <w:r>
              <w:t>41.8</w:t>
            </w:r>
          </w:p>
        </w:tc>
        <w:tc>
          <w:tcPr>
            <w:tcW w:w="1395" w:type="dxa"/>
            <w:shd w:val="clear" w:color="auto" w:fill="auto"/>
            <w:noWrap/>
          </w:tcPr>
          <w:p w14:paraId="0FE34BD4" w14:textId="77777777" w:rsidR="00407F0A" w:rsidRPr="006E465A" w:rsidRDefault="00407F0A" w:rsidP="000B6FB4">
            <w:pPr>
              <w:pStyle w:val="Tabletext"/>
              <w:tabs>
                <w:tab w:val="decimal" w:pos="624"/>
              </w:tabs>
            </w:pPr>
            <w:r>
              <w:t>50.7</w:t>
            </w:r>
          </w:p>
        </w:tc>
        <w:tc>
          <w:tcPr>
            <w:tcW w:w="1395" w:type="dxa"/>
            <w:shd w:val="clear" w:color="auto" w:fill="auto"/>
            <w:noWrap/>
          </w:tcPr>
          <w:p w14:paraId="1DE0C67B" w14:textId="77777777" w:rsidR="00407F0A" w:rsidRPr="006E465A" w:rsidRDefault="00407F0A" w:rsidP="000B6FB4">
            <w:pPr>
              <w:pStyle w:val="Tabletext"/>
              <w:tabs>
                <w:tab w:val="decimal" w:pos="624"/>
              </w:tabs>
            </w:pPr>
            <w:r>
              <w:t>55.8</w:t>
            </w:r>
          </w:p>
        </w:tc>
        <w:tc>
          <w:tcPr>
            <w:tcW w:w="1396" w:type="dxa"/>
            <w:shd w:val="clear" w:color="auto" w:fill="auto"/>
            <w:noWrap/>
          </w:tcPr>
          <w:p w14:paraId="532B1494" w14:textId="77777777" w:rsidR="00407F0A" w:rsidRPr="006E465A" w:rsidRDefault="00407F0A" w:rsidP="000B6FB4">
            <w:pPr>
              <w:pStyle w:val="Tabletext"/>
              <w:tabs>
                <w:tab w:val="decimal" w:pos="624"/>
              </w:tabs>
            </w:pPr>
            <w:r>
              <w:t>57.4</w:t>
            </w:r>
          </w:p>
        </w:tc>
      </w:tr>
      <w:tr w:rsidR="00407F0A" w:rsidRPr="006E465A" w14:paraId="6892023B" w14:textId="77777777" w:rsidTr="00680561">
        <w:tc>
          <w:tcPr>
            <w:tcW w:w="2924" w:type="dxa"/>
            <w:shd w:val="clear" w:color="auto" w:fill="auto"/>
            <w:noWrap/>
          </w:tcPr>
          <w:p w14:paraId="3363E99E" w14:textId="77777777" w:rsidR="00407F0A" w:rsidRPr="006E465A" w:rsidRDefault="00407F0A" w:rsidP="000B6FB4">
            <w:pPr>
              <w:pStyle w:val="Tabletext"/>
              <w:ind w:left="227"/>
            </w:pPr>
            <w:r>
              <w:t>Average hours worked*</w:t>
            </w:r>
          </w:p>
        </w:tc>
        <w:tc>
          <w:tcPr>
            <w:tcW w:w="1395" w:type="dxa"/>
            <w:shd w:val="clear" w:color="auto" w:fill="auto"/>
            <w:noWrap/>
          </w:tcPr>
          <w:p w14:paraId="1B06105E" w14:textId="77777777" w:rsidR="00407F0A" w:rsidRPr="00587B8C" w:rsidRDefault="00407F0A" w:rsidP="000B6FB4">
            <w:pPr>
              <w:pStyle w:val="Tabletext"/>
              <w:tabs>
                <w:tab w:val="decimal" w:pos="624"/>
              </w:tabs>
            </w:pPr>
            <w:r w:rsidRPr="00587B8C">
              <w:t>10.9</w:t>
            </w:r>
          </w:p>
        </w:tc>
        <w:tc>
          <w:tcPr>
            <w:tcW w:w="1395" w:type="dxa"/>
            <w:shd w:val="clear" w:color="auto" w:fill="auto"/>
            <w:noWrap/>
          </w:tcPr>
          <w:p w14:paraId="52AEA1F1" w14:textId="77777777" w:rsidR="00407F0A" w:rsidRPr="00587B8C" w:rsidRDefault="00407F0A" w:rsidP="000B6FB4">
            <w:pPr>
              <w:pStyle w:val="Tabletext"/>
              <w:tabs>
                <w:tab w:val="decimal" w:pos="624"/>
              </w:tabs>
            </w:pPr>
            <w:r w:rsidRPr="00587B8C">
              <w:t>12.1</w:t>
            </w:r>
          </w:p>
        </w:tc>
        <w:tc>
          <w:tcPr>
            <w:tcW w:w="1395" w:type="dxa"/>
            <w:shd w:val="clear" w:color="auto" w:fill="auto"/>
            <w:noWrap/>
          </w:tcPr>
          <w:p w14:paraId="10877272" w14:textId="77777777" w:rsidR="00407F0A" w:rsidRPr="00587B8C" w:rsidRDefault="00407F0A" w:rsidP="000B6FB4">
            <w:pPr>
              <w:pStyle w:val="Tabletext"/>
              <w:tabs>
                <w:tab w:val="decimal" w:pos="624"/>
              </w:tabs>
            </w:pPr>
            <w:r w:rsidRPr="00587B8C">
              <w:t>11.7</w:t>
            </w:r>
          </w:p>
        </w:tc>
        <w:tc>
          <w:tcPr>
            <w:tcW w:w="1396" w:type="dxa"/>
            <w:shd w:val="clear" w:color="auto" w:fill="auto"/>
            <w:noWrap/>
          </w:tcPr>
          <w:p w14:paraId="373E355D" w14:textId="77777777" w:rsidR="00407F0A" w:rsidRPr="00587B8C" w:rsidRDefault="00407F0A" w:rsidP="000B6FB4">
            <w:pPr>
              <w:pStyle w:val="Tabletext"/>
              <w:tabs>
                <w:tab w:val="decimal" w:pos="624"/>
              </w:tabs>
            </w:pPr>
            <w:r w:rsidRPr="00587B8C">
              <w:t>11.4</w:t>
            </w:r>
          </w:p>
        </w:tc>
      </w:tr>
    </w:tbl>
    <w:p w14:paraId="446C7C48" w14:textId="77777777" w:rsidR="00407F0A" w:rsidRPr="006E465A" w:rsidRDefault="00407F0A" w:rsidP="00407F0A">
      <w:pPr>
        <w:pStyle w:val="Source"/>
      </w:pPr>
      <w:r>
        <w:t>Note:</w:t>
      </w:r>
      <w:r>
        <w:tab/>
      </w:r>
      <w:r w:rsidRPr="006E465A">
        <w:t xml:space="preserve">* </w:t>
      </w:r>
      <w:r>
        <w:t>Based on only those who are in employment while undertaking the given school year level. It also e</w:t>
      </w:r>
      <w:r w:rsidRPr="006E465A">
        <w:t>xcludes those whose working status is undefined</w:t>
      </w:r>
      <w:r>
        <w:t>, or who stated they worked for more than 40 hours a week when at school.</w:t>
      </w:r>
    </w:p>
    <w:p w14:paraId="10E8B0BF" w14:textId="5A9C18D1" w:rsidR="00407F0A" w:rsidRDefault="00407F0A" w:rsidP="0035756F">
      <w:pPr>
        <w:pStyle w:val="Text"/>
      </w:pPr>
      <w:r>
        <w:t>Students work</w:t>
      </w:r>
      <w:r w:rsidR="001B7BFF">
        <w:t>ed</w:t>
      </w:r>
      <w:r>
        <w:t xml:space="preserve"> on average 11</w:t>
      </w:r>
      <w:r w:rsidR="009A218E">
        <w:t xml:space="preserve"> to </w:t>
      </w:r>
      <w:r>
        <w:t>12 hours per week.</w:t>
      </w:r>
    </w:p>
    <w:p w14:paraId="49D15A04" w14:textId="022E7DC9" w:rsidR="00407F0A" w:rsidRDefault="00407F0A" w:rsidP="0091784F">
      <w:pPr>
        <w:pStyle w:val="Figuretitle"/>
      </w:pPr>
      <w:bookmarkStart w:id="264" w:name="_Toc19001679"/>
      <w:r>
        <w:t xml:space="preserve">Table </w:t>
      </w:r>
      <w:r>
        <w:fldChar w:fldCharType="begin"/>
      </w:r>
      <w:r>
        <w:instrText xml:space="preserve"> SEQ Table \* ARABIC </w:instrText>
      </w:r>
      <w:r>
        <w:fldChar w:fldCharType="separate"/>
      </w:r>
      <w:r w:rsidR="00BE614C">
        <w:rPr>
          <w:noProof/>
        </w:rPr>
        <w:t>2</w:t>
      </w:r>
      <w:r>
        <w:rPr>
          <w:noProof/>
        </w:rPr>
        <w:fldChar w:fldCharType="end"/>
      </w:r>
      <w:r w:rsidR="00AB293C">
        <w:rPr>
          <w:noProof/>
        </w:rPr>
        <w:t>2</w:t>
      </w:r>
      <w:r>
        <w:tab/>
        <w:t>Summary statistics of working and working hours by year level, Y03 cohort</w:t>
      </w:r>
      <w:bookmarkEnd w:id="264"/>
    </w:p>
    <w:tbl>
      <w:tblPr>
        <w:tblW w:w="8505" w:type="dxa"/>
        <w:tblLayout w:type="fixed"/>
        <w:tblLook w:val="04A0" w:firstRow="1" w:lastRow="0" w:firstColumn="1" w:lastColumn="0" w:noHBand="0" w:noVBand="1"/>
      </w:tblPr>
      <w:tblGrid>
        <w:gridCol w:w="3969"/>
        <w:gridCol w:w="1134"/>
        <w:gridCol w:w="1134"/>
        <w:gridCol w:w="1134"/>
        <w:gridCol w:w="1134"/>
      </w:tblGrid>
      <w:tr w:rsidR="00407F0A" w14:paraId="570BAFF6" w14:textId="77777777" w:rsidTr="00680561">
        <w:tc>
          <w:tcPr>
            <w:tcW w:w="3969" w:type="dxa"/>
            <w:tcBorders>
              <w:top w:val="single" w:sz="4" w:space="0" w:color="auto"/>
              <w:bottom w:val="single" w:sz="4" w:space="0" w:color="auto"/>
            </w:tcBorders>
          </w:tcPr>
          <w:p w14:paraId="7F7721FE" w14:textId="77777777" w:rsidR="00407F0A" w:rsidRDefault="00407F0A" w:rsidP="000B6FB4">
            <w:pPr>
              <w:pStyle w:val="Tablehead1"/>
            </w:pPr>
          </w:p>
        </w:tc>
        <w:tc>
          <w:tcPr>
            <w:tcW w:w="1134" w:type="dxa"/>
            <w:tcBorders>
              <w:top w:val="single" w:sz="4" w:space="0" w:color="auto"/>
              <w:bottom w:val="single" w:sz="4" w:space="0" w:color="auto"/>
            </w:tcBorders>
          </w:tcPr>
          <w:p w14:paraId="1860059C" w14:textId="77777777" w:rsidR="00407F0A" w:rsidRDefault="00407F0A" w:rsidP="000B6FB4">
            <w:pPr>
              <w:pStyle w:val="Tablehead1"/>
              <w:jc w:val="center"/>
            </w:pPr>
            <w:r>
              <w:t>Year 9</w:t>
            </w:r>
          </w:p>
        </w:tc>
        <w:tc>
          <w:tcPr>
            <w:tcW w:w="1134" w:type="dxa"/>
            <w:tcBorders>
              <w:top w:val="single" w:sz="4" w:space="0" w:color="auto"/>
              <w:bottom w:val="single" w:sz="4" w:space="0" w:color="auto"/>
            </w:tcBorders>
          </w:tcPr>
          <w:p w14:paraId="36C400B9" w14:textId="77777777" w:rsidR="00407F0A" w:rsidRDefault="00407F0A" w:rsidP="000B6FB4">
            <w:pPr>
              <w:pStyle w:val="Tablehead1"/>
              <w:jc w:val="center"/>
            </w:pPr>
            <w:r>
              <w:t>Year 10</w:t>
            </w:r>
          </w:p>
        </w:tc>
        <w:tc>
          <w:tcPr>
            <w:tcW w:w="1134" w:type="dxa"/>
            <w:tcBorders>
              <w:top w:val="single" w:sz="4" w:space="0" w:color="auto"/>
              <w:bottom w:val="single" w:sz="4" w:space="0" w:color="auto"/>
            </w:tcBorders>
          </w:tcPr>
          <w:p w14:paraId="185C84E3" w14:textId="77777777" w:rsidR="00407F0A" w:rsidRDefault="00407F0A" w:rsidP="000B6FB4">
            <w:pPr>
              <w:pStyle w:val="Tablehead1"/>
              <w:jc w:val="center"/>
            </w:pPr>
            <w:r>
              <w:t>Year 11</w:t>
            </w:r>
          </w:p>
        </w:tc>
        <w:tc>
          <w:tcPr>
            <w:tcW w:w="1134" w:type="dxa"/>
            <w:tcBorders>
              <w:top w:val="single" w:sz="4" w:space="0" w:color="auto"/>
              <w:bottom w:val="single" w:sz="4" w:space="0" w:color="auto"/>
            </w:tcBorders>
          </w:tcPr>
          <w:p w14:paraId="3062BD7A" w14:textId="77777777" w:rsidR="00407F0A" w:rsidRDefault="00407F0A" w:rsidP="000B6FB4">
            <w:pPr>
              <w:pStyle w:val="Tablehead1"/>
              <w:jc w:val="center"/>
            </w:pPr>
            <w:r>
              <w:t>Year 12</w:t>
            </w:r>
          </w:p>
        </w:tc>
      </w:tr>
      <w:tr w:rsidR="00407F0A" w:rsidRPr="00095090" w14:paraId="798A1753" w14:textId="77777777" w:rsidTr="00680561">
        <w:tc>
          <w:tcPr>
            <w:tcW w:w="3969" w:type="dxa"/>
            <w:tcBorders>
              <w:top w:val="single" w:sz="4" w:space="0" w:color="auto"/>
            </w:tcBorders>
          </w:tcPr>
          <w:p w14:paraId="766A4482" w14:textId="77777777" w:rsidR="00407F0A" w:rsidRPr="00095090" w:rsidRDefault="00407F0A" w:rsidP="000B6FB4">
            <w:pPr>
              <w:pStyle w:val="Tabletext"/>
            </w:pPr>
            <w:r w:rsidRPr="00095090">
              <w:t>No. in year level</w:t>
            </w:r>
          </w:p>
        </w:tc>
        <w:tc>
          <w:tcPr>
            <w:tcW w:w="1134" w:type="dxa"/>
            <w:tcBorders>
              <w:top w:val="single" w:sz="4" w:space="0" w:color="auto"/>
            </w:tcBorders>
          </w:tcPr>
          <w:p w14:paraId="65D32EC1" w14:textId="77777777" w:rsidR="00407F0A" w:rsidRPr="00095090" w:rsidRDefault="00407F0A" w:rsidP="000B6FB4">
            <w:pPr>
              <w:pStyle w:val="Tabletext"/>
              <w:ind w:right="312"/>
              <w:jc w:val="right"/>
            </w:pPr>
            <w:r w:rsidRPr="00095090">
              <w:t>890</w:t>
            </w:r>
          </w:p>
        </w:tc>
        <w:tc>
          <w:tcPr>
            <w:tcW w:w="1134" w:type="dxa"/>
            <w:tcBorders>
              <w:top w:val="single" w:sz="4" w:space="0" w:color="auto"/>
            </w:tcBorders>
          </w:tcPr>
          <w:p w14:paraId="71B581F2" w14:textId="77777777" w:rsidR="00407F0A" w:rsidRPr="00095090" w:rsidRDefault="00407F0A" w:rsidP="000B6FB4">
            <w:pPr>
              <w:pStyle w:val="Tabletext"/>
              <w:ind w:right="284"/>
              <w:jc w:val="right"/>
            </w:pPr>
            <w:r w:rsidRPr="00095090">
              <w:t>8077</w:t>
            </w:r>
          </w:p>
        </w:tc>
        <w:tc>
          <w:tcPr>
            <w:tcW w:w="1134" w:type="dxa"/>
            <w:tcBorders>
              <w:top w:val="single" w:sz="4" w:space="0" w:color="auto"/>
            </w:tcBorders>
          </w:tcPr>
          <w:p w14:paraId="5B4706F7" w14:textId="77777777" w:rsidR="00407F0A" w:rsidRPr="00095090" w:rsidRDefault="00407F0A" w:rsidP="000B6FB4">
            <w:pPr>
              <w:pStyle w:val="Tabletext"/>
              <w:ind w:right="284"/>
              <w:jc w:val="right"/>
            </w:pPr>
            <w:r w:rsidRPr="00095090">
              <w:t>8405</w:t>
            </w:r>
          </w:p>
        </w:tc>
        <w:tc>
          <w:tcPr>
            <w:tcW w:w="1134" w:type="dxa"/>
            <w:tcBorders>
              <w:top w:val="single" w:sz="4" w:space="0" w:color="auto"/>
            </w:tcBorders>
          </w:tcPr>
          <w:p w14:paraId="4EE31ADB" w14:textId="77777777" w:rsidR="00407F0A" w:rsidRPr="00095090" w:rsidRDefault="00407F0A" w:rsidP="000B6FB4">
            <w:pPr>
              <w:pStyle w:val="Tabletext"/>
              <w:ind w:right="284"/>
              <w:jc w:val="right"/>
            </w:pPr>
            <w:r w:rsidRPr="00095090">
              <w:t>6762</w:t>
            </w:r>
          </w:p>
        </w:tc>
      </w:tr>
      <w:tr w:rsidR="00407F0A" w:rsidRPr="00095090" w14:paraId="6540D210" w14:textId="77777777" w:rsidTr="00680561">
        <w:tc>
          <w:tcPr>
            <w:tcW w:w="3969" w:type="dxa"/>
          </w:tcPr>
          <w:p w14:paraId="41ADCE34" w14:textId="77777777" w:rsidR="00407F0A" w:rsidRPr="00095090" w:rsidRDefault="00407F0A" w:rsidP="000B6FB4">
            <w:pPr>
              <w:pStyle w:val="Tabletext"/>
            </w:pPr>
            <w:r w:rsidRPr="00095090">
              <w:t>No. working in year level</w:t>
            </w:r>
          </w:p>
        </w:tc>
        <w:tc>
          <w:tcPr>
            <w:tcW w:w="1134" w:type="dxa"/>
          </w:tcPr>
          <w:p w14:paraId="43CC6EE4" w14:textId="77777777" w:rsidR="00407F0A" w:rsidRPr="00095090" w:rsidRDefault="00407F0A" w:rsidP="000B6FB4">
            <w:pPr>
              <w:pStyle w:val="Tabletext"/>
              <w:ind w:right="312"/>
              <w:jc w:val="right"/>
            </w:pPr>
            <w:r>
              <w:t>372</w:t>
            </w:r>
          </w:p>
        </w:tc>
        <w:tc>
          <w:tcPr>
            <w:tcW w:w="1134" w:type="dxa"/>
          </w:tcPr>
          <w:p w14:paraId="14C6FE0B" w14:textId="77777777" w:rsidR="00407F0A" w:rsidRPr="00095090" w:rsidRDefault="00407F0A" w:rsidP="000B6FB4">
            <w:pPr>
              <w:pStyle w:val="Tabletext"/>
              <w:ind w:right="284"/>
              <w:jc w:val="right"/>
            </w:pPr>
            <w:r>
              <w:t>4096</w:t>
            </w:r>
          </w:p>
        </w:tc>
        <w:tc>
          <w:tcPr>
            <w:tcW w:w="1134" w:type="dxa"/>
          </w:tcPr>
          <w:p w14:paraId="310C9DF9" w14:textId="77777777" w:rsidR="00407F0A" w:rsidRPr="00095090" w:rsidRDefault="00407F0A" w:rsidP="000B6FB4">
            <w:pPr>
              <w:pStyle w:val="Tabletext"/>
              <w:ind w:right="284"/>
              <w:jc w:val="right"/>
            </w:pPr>
            <w:r>
              <w:t>4692</w:t>
            </w:r>
          </w:p>
        </w:tc>
        <w:tc>
          <w:tcPr>
            <w:tcW w:w="1134" w:type="dxa"/>
          </w:tcPr>
          <w:p w14:paraId="4C153937" w14:textId="77777777" w:rsidR="00407F0A" w:rsidRPr="00095090" w:rsidRDefault="00407F0A" w:rsidP="000B6FB4">
            <w:pPr>
              <w:pStyle w:val="Tabletext"/>
              <w:ind w:right="284"/>
              <w:jc w:val="right"/>
            </w:pPr>
            <w:r>
              <w:t>3884</w:t>
            </w:r>
          </w:p>
        </w:tc>
      </w:tr>
      <w:tr w:rsidR="00407F0A" w:rsidRPr="00095090" w14:paraId="5CC93E62" w14:textId="77777777" w:rsidTr="00680561">
        <w:tc>
          <w:tcPr>
            <w:tcW w:w="3969" w:type="dxa"/>
          </w:tcPr>
          <w:p w14:paraId="02C79CEA" w14:textId="77777777" w:rsidR="00407F0A" w:rsidRPr="00095090" w:rsidRDefault="00407F0A" w:rsidP="000B6FB4">
            <w:pPr>
              <w:pStyle w:val="Tabletext"/>
            </w:pPr>
            <w:r w:rsidRPr="00095090">
              <w:t>% of all students working</w:t>
            </w:r>
          </w:p>
        </w:tc>
        <w:tc>
          <w:tcPr>
            <w:tcW w:w="1134" w:type="dxa"/>
          </w:tcPr>
          <w:p w14:paraId="3EDB5C1A" w14:textId="77777777" w:rsidR="00407F0A" w:rsidRPr="00095090" w:rsidRDefault="00407F0A" w:rsidP="000B6FB4">
            <w:pPr>
              <w:pStyle w:val="Tabletext"/>
              <w:tabs>
                <w:tab w:val="decimal" w:pos="482"/>
              </w:tabs>
            </w:pPr>
            <w:r>
              <w:t>41.8</w:t>
            </w:r>
          </w:p>
        </w:tc>
        <w:tc>
          <w:tcPr>
            <w:tcW w:w="1134" w:type="dxa"/>
          </w:tcPr>
          <w:p w14:paraId="006939E7" w14:textId="77777777" w:rsidR="00407F0A" w:rsidRPr="00095090" w:rsidRDefault="00407F0A" w:rsidP="000B6FB4">
            <w:pPr>
              <w:pStyle w:val="Tabletext"/>
              <w:tabs>
                <w:tab w:val="decimal" w:pos="482"/>
              </w:tabs>
            </w:pPr>
            <w:r>
              <w:t>50.7</w:t>
            </w:r>
          </w:p>
        </w:tc>
        <w:tc>
          <w:tcPr>
            <w:tcW w:w="1134" w:type="dxa"/>
          </w:tcPr>
          <w:p w14:paraId="5FDEFEF9" w14:textId="77777777" w:rsidR="00407F0A" w:rsidRPr="00095090" w:rsidRDefault="00407F0A" w:rsidP="000B6FB4">
            <w:pPr>
              <w:pStyle w:val="Tabletext"/>
              <w:tabs>
                <w:tab w:val="decimal" w:pos="482"/>
              </w:tabs>
            </w:pPr>
            <w:r>
              <w:t>55.8</w:t>
            </w:r>
          </w:p>
        </w:tc>
        <w:tc>
          <w:tcPr>
            <w:tcW w:w="1134" w:type="dxa"/>
          </w:tcPr>
          <w:p w14:paraId="08E88F2C" w14:textId="77777777" w:rsidR="00407F0A" w:rsidRPr="00095090" w:rsidRDefault="00407F0A" w:rsidP="000B6FB4">
            <w:pPr>
              <w:pStyle w:val="Tabletext"/>
              <w:tabs>
                <w:tab w:val="decimal" w:pos="482"/>
              </w:tabs>
            </w:pPr>
            <w:r>
              <w:t>57.4</w:t>
            </w:r>
          </w:p>
        </w:tc>
      </w:tr>
      <w:tr w:rsidR="00407F0A" w:rsidRPr="00095090" w14:paraId="3E7341B1" w14:textId="77777777" w:rsidTr="00680561">
        <w:tc>
          <w:tcPr>
            <w:tcW w:w="3969" w:type="dxa"/>
            <w:tcBorders>
              <w:bottom w:val="single" w:sz="4" w:space="0" w:color="auto"/>
            </w:tcBorders>
          </w:tcPr>
          <w:p w14:paraId="2F6B26AB" w14:textId="77777777" w:rsidR="00407F0A" w:rsidRPr="00095090" w:rsidRDefault="00407F0A" w:rsidP="000B6FB4">
            <w:pPr>
              <w:pStyle w:val="Tabletext"/>
            </w:pPr>
            <w:r w:rsidRPr="00095090">
              <w:t>Mean working hours (for those working)</w:t>
            </w:r>
          </w:p>
        </w:tc>
        <w:tc>
          <w:tcPr>
            <w:tcW w:w="1134" w:type="dxa"/>
            <w:tcBorders>
              <w:bottom w:val="single" w:sz="4" w:space="0" w:color="auto"/>
            </w:tcBorders>
          </w:tcPr>
          <w:p w14:paraId="3CB74BA2" w14:textId="77777777" w:rsidR="00407F0A" w:rsidRPr="00095090" w:rsidRDefault="00407F0A" w:rsidP="000B6FB4">
            <w:pPr>
              <w:pStyle w:val="Tabletext"/>
              <w:tabs>
                <w:tab w:val="decimal" w:pos="482"/>
              </w:tabs>
            </w:pPr>
            <w:r w:rsidRPr="00095090">
              <w:t>10.9</w:t>
            </w:r>
          </w:p>
        </w:tc>
        <w:tc>
          <w:tcPr>
            <w:tcW w:w="1134" w:type="dxa"/>
            <w:tcBorders>
              <w:bottom w:val="single" w:sz="4" w:space="0" w:color="auto"/>
            </w:tcBorders>
          </w:tcPr>
          <w:p w14:paraId="5EDD53B3" w14:textId="77777777" w:rsidR="00407F0A" w:rsidRPr="00095090" w:rsidRDefault="00407F0A" w:rsidP="000B6FB4">
            <w:pPr>
              <w:pStyle w:val="Tabletext"/>
              <w:tabs>
                <w:tab w:val="decimal" w:pos="482"/>
              </w:tabs>
            </w:pPr>
            <w:r w:rsidRPr="00095090">
              <w:t>12.1</w:t>
            </w:r>
          </w:p>
        </w:tc>
        <w:tc>
          <w:tcPr>
            <w:tcW w:w="1134" w:type="dxa"/>
            <w:tcBorders>
              <w:bottom w:val="single" w:sz="4" w:space="0" w:color="auto"/>
            </w:tcBorders>
          </w:tcPr>
          <w:p w14:paraId="6BE0EFAA" w14:textId="77777777" w:rsidR="00407F0A" w:rsidRPr="00095090" w:rsidRDefault="00407F0A" w:rsidP="000B6FB4">
            <w:pPr>
              <w:pStyle w:val="Tabletext"/>
              <w:tabs>
                <w:tab w:val="decimal" w:pos="482"/>
              </w:tabs>
            </w:pPr>
            <w:r>
              <w:t>11.7</w:t>
            </w:r>
          </w:p>
        </w:tc>
        <w:tc>
          <w:tcPr>
            <w:tcW w:w="1134" w:type="dxa"/>
            <w:tcBorders>
              <w:bottom w:val="single" w:sz="4" w:space="0" w:color="auto"/>
            </w:tcBorders>
          </w:tcPr>
          <w:p w14:paraId="2F572D57" w14:textId="77777777" w:rsidR="00407F0A" w:rsidRPr="00095090" w:rsidRDefault="00407F0A" w:rsidP="000B6FB4">
            <w:pPr>
              <w:pStyle w:val="Tabletext"/>
              <w:tabs>
                <w:tab w:val="decimal" w:pos="482"/>
              </w:tabs>
            </w:pPr>
            <w:r>
              <w:t>11</w:t>
            </w:r>
            <w:r w:rsidRPr="00095090">
              <w:t>.4</w:t>
            </w:r>
          </w:p>
        </w:tc>
      </w:tr>
      <w:tr w:rsidR="00407F0A" w:rsidRPr="00095090" w14:paraId="29A3EDF9" w14:textId="77777777" w:rsidTr="00680561">
        <w:tc>
          <w:tcPr>
            <w:tcW w:w="3969" w:type="dxa"/>
          </w:tcPr>
          <w:p w14:paraId="66ABEA08" w14:textId="77777777" w:rsidR="00407F0A" w:rsidRPr="00095090" w:rsidRDefault="00407F0A" w:rsidP="000B6FB4">
            <w:pPr>
              <w:pStyle w:val="Tabletext"/>
              <w:spacing w:before="120"/>
            </w:pPr>
            <w:r w:rsidRPr="00095090">
              <w:t>No. working</w:t>
            </w:r>
            <w:r w:rsidRPr="001A19B4">
              <w:t xml:space="preserve"> ≥ </w:t>
            </w:r>
            <w:r w:rsidRPr="00095090">
              <w:t>15 hours per week</w:t>
            </w:r>
          </w:p>
        </w:tc>
        <w:tc>
          <w:tcPr>
            <w:tcW w:w="1134" w:type="dxa"/>
          </w:tcPr>
          <w:p w14:paraId="6C3E20BA" w14:textId="77777777" w:rsidR="00407F0A" w:rsidRPr="00095090" w:rsidRDefault="00407F0A" w:rsidP="000B6FB4">
            <w:pPr>
              <w:pStyle w:val="Tabletext"/>
              <w:ind w:right="369"/>
              <w:jc w:val="right"/>
            </w:pPr>
            <w:r w:rsidRPr="00095090">
              <w:t>57</w:t>
            </w:r>
          </w:p>
        </w:tc>
        <w:tc>
          <w:tcPr>
            <w:tcW w:w="1134" w:type="dxa"/>
          </w:tcPr>
          <w:p w14:paraId="267A6806" w14:textId="77777777" w:rsidR="00407F0A" w:rsidRPr="00095090" w:rsidRDefault="00407F0A" w:rsidP="000B6FB4">
            <w:pPr>
              <w:pStyle w:val="Tabletext"/>
              <w:ind w:right="312"/>
              <w:jc w:val="right"/>
            </w:pPr>
            <w:r w:rsidRPr="00095090">
              <w:t>817</w:t>
            </w:r>
          </w:p>
        </w:tc>
        <w:tc>
          <w:tcPr>
            <w:tcW w:w="1134" w:type="dxa"/>
          </w:tcPr>
          <w:p w14:paraId="40F569BF" w14:textId="77777777" w:rsidR="00407F0A" w:rsidRPr="00095090" w:rsidRDefault="00407F0A" w:rsidP="000B6FB4">
            <w:pPr>
              <w:pStyle w:val="Tabletext"/>
              <w:ind w:right="312"/>
              <w:jc w:val="right"/>
            </w:pPr>
            <w:r w:rsidRPr="00095090">
              <w:t>874</w:t>
            </w:r>
          </w:p>
        </w:tc>
        <w:tc>
          <w:tcPr>
            <w:tcW w:w="1134" w:type="dxa"/>
          </w:tcPr>
          <w:p w14:paraId="21E6ADBD" w14:textId="77777777" w:rsidR="00407F0A" w:rsidRPr="00095090" w:rsidRDefault="00407F0A" w:rsidP="000B6FB4">
            <w:pPr>
              <w:pStyle w:val="Tabletext"/>
              <w:ind w:right="312"/>
              <w:jc w:val="right"/>
            </w:pPr>
            <w:r w:rsidRPr="00095090">
              <w:t>664</w:t>
            </w:r>
          </w:p>
        </w:tc>
      </w:tr>
      <w:tr w:rsidR="00407F0A" w:rsidRPr="00095090" w14:paraId="41E8B52D" w14:textId="77777777" w:rsidTr="00680561">
        <w:tc>
          <w:tcPr>
            <w:tcW w:w="3969" w:type="dxa"/>
          </w:tcPr>
          <w:p w14:paraId="10ED39C9" w14:textId="77777777" w:rsidR="00407F0A" w:rsidRPr="00095090" w:rsidRDefault="00407F0A" w:rsidP="000B6FB4">
            <w:pPr>
              <w:pStyle w:val="Tabletext"/>
            </w:pPr>
            <w:r w:rsidRPr="00095090">
              <w:t>Mean working hours (</w:t>
            </w:r>
            <w:r w:rsidRPr="00D14FEC">
              <w:t>≥ 15</w:t>
            </w:r>
            <w:r w:rsidRPr="00095090">
              <w:t xml:space="preserve"> hours per week)</w:t>
            </w:r>
          </w:p>
        </w:tc>
        <w:tc>
          <w:tcPr>
            <w:tcW w:w="1134" w:type="dxa"/>
          </w:tcPr>
          <w:p w14:paraId="77CE7CB4" w14:textId="77777777" w:rsidR="00407F0A" w:rsidRPr="00095090" w:rsidRDefault="00407F0A" w:rsidP="000B6FB4">
            <w:pPr>
              <w:pStyle w:val="Tabletext"/>
              <w:tabs>
                <w:tab w:val="decimal" w:pos="482"/>
              </w:tabs>
            </w:pPr>
            <w:r w:rsidRPr="00095090">
              <w:t>20.2</w:t>
            </w:r>
          </w:p>
        </w:tc>
        <w:tc>
          <w:tcPr>
            <w:tcW w:w="1134" w:type="dxa"/>
          </w:tcPr>
          <w:p w14:paraId="4792F76E" w14:textId="77777777" w:rsidR="00407F0A" w:rsidRPr="00095090" w:rsidRDefault="00407F0A" w:rsidP="000B6FB4">
            <w:pPr>
              <w:pStyle w:val="Tabletext"/>
              <w:tabs>
                <w:tab w:val="decimal" w:pos="482"/>
              </w:tabs>
            </w:pPr>
            <w:r w:rsidRPr="00095090">
              <w:t>20.4</w:t>
            </w:r>
          </w:p>
        </w:tc>
        <w:tc>
          <w:tcPr>
            <w:tcW w:w="1134" w:type="dxa"/>
          </w:tcPr>
          <w:p w14:paraId="6C2B227B" w14:textId="77777777" w:rsidR="00407F0A" w:rsidRPr="00095090" w:rsidRDefault="00407F0A" w:rsidP="000B6FB4">
            <w:pPr>
              <w:pStyle w:val="Tabletext"/>
              <w:tabs>
                <w:tab w:val="decimal" w:pos="482"/>
              </w:tabs>
            </w:pPr>
            <w:r w:rsidRPr="00095090">
              <w:t>20.1</w:t>
            </w:r>
          </w:p>
        </w:tc>
        <w:tc>
          <w:tcPr>
            <w:tcW w:w="1134" w:type="dxa"/>
          </w:tcPr>
          <w:p w14:paraId="4DD6BBA0" w14:textId="77777777" w:rsidR="00407F0A" w:rsidRPr="00095090" w:rsidRDefault="00407F0A" w:rsidP="000B6FB4">
            <w:pPr>
              <w:pStyle w:val="Tabletext"/>
              <w:tabs>
                <w:tab w:val="decimal" w:pos="482"/>
              </w:tabs>
            </w:pPr>
            <w:r w:rsidRPr="00095090">
              <w:t>20.7</w:t>
            </w:r>
          </w:p>
        </w:tc>
      </w:tr>
      <w:tr w:rsidR="00407F0A" w:rsidRPr="00095090" w14:paraId="615FA5F2" w14:textId="77777777" w:rsidTr="00680561">
        <w:tc>
          <w:tcPr>
            <w:tcW w:w="3969" w:type="dxa"/>
          </w:tcPr>
          <w:p w14:paraId="177B6733" w14:textId="77777777" w:rsidR="00407F0A" w:rsidRPr="00095090" w:rsidRDefault="00407F0A" w:rsidP="000B6FB4">
            <w:pPr>
              <w:pStyle w:val="Tabletext"/>
            </w:pPr>
            <w:r w:rsidRPr="00095090">
              <w:t xml:space="preserve">% of all students working </w:t>
            </w:r>
            <w:r w:rsidRPr="00D14FEC">
              <w:t>≥ 15</w:t>
            </w:r>
            <w:r>
              <w:t xml:space="preserve"> </w:t>
            </w:r>
            <w:r w:rsidRPr="00095090">
              <w:t>hours per week</w:t>
            </w:r>
          </w:p>
        </w:tc>
        <w:tc>
          <w:tcPr>
            <w:tcW w:w="1134" w:type="dxa"/>
          </w:tcPr>
          <w:p w14:paraId="7432DFEC" w14:textId="77777777" w:rsidR="00407F0A" w:rsidRPr="00095090" w:rsidRDefault="00407F0A" w:rsidP="000B6FB4">
            <w:pPr>
              <w:pStyle w:val="Tabletext"/>
              <w:tabs>
                <w:tab w:val="decimal" w:pos="482"/>
              </w:tabs>
            </w:pPr>
            <w:r w:rsidRPr="00095090">
              <w:t>6.4</w:t>
            </w:r>
          </w:p>
        </w:tc>
        <w:tc>
          <w:tcPr>
            <w:tcW w:w="1134" w:type="dxa"/>
          </w:tcPr>
          <w:p w14:paraId="5EC55D1D" w14:textId="77777777" w:rsidR="00407F0A" w:rsidRPr="00095090" w:rsidRDefault="00407F0A" w:rsidP="000B6FB4">
            <w:pPr>
              <w:pStyle w:val="Tabletext"/>
              <w:tabs>
                <w:tab w:val="decimal" w:pos="482"/>
              </w:tabs>
            </w:pPr>
            <w:r w:rsidRPr="00095090">
              <w:t>10.1</w:t>
            </w:r>
          </w:p>
        </w:tc>
        <w:tc>
          <w:tcPr>
            <w:tcW w:w="1134" w:type="dxa"/>
          </w:tcPr>
          <w:p w14:paraId="54920F74" w14:textId="77777777" w:rsidR="00407F0A" w:rsidRPr="00095090" w:rsidRDefault="00407F0A" w:rsidP="000B6FB4">
            <w:pPr>
              <w:pStyle w:val="Tabletext"/>
              <w:tabs>
                <w:tab w:val="decimal" w:pos="482"/>
              </w:tabs>
            </w:pPr>
            <w:r w:rsidRPr="00095090">
              <w:t>10.4</w:t>
            </w:r>
          </w:p>
        </w:tc>
        <w:tc>
          <w:tcPr>
            <w:tcW w:w="1134" w:type="dxa"/>
          </w:tcPr>
          <w:p w14:paraId="0267C0E4" w14:textId="77777777" w:rsidR="00407F0A" w:rsidRPr="00095090" w:rsidRDefault="00407F0A" w:rsidP="000B6FB4">
            <w:pPr>
              <w:pStyle w:val="Tabletext"/>
              <w:tabs>
                <w:tab w:val="decimal" w:pos="482"/>
              </w:tabs>
            </w:pPr>
            <w:r w:rsidRPr="00095090">
              <w:t>9.8</w:t>
            </w:r>
          </w:p>
        </w:tc>
      </w:tr>
      <w:tr w:rsidR="00407F0A" w:rsidRPr="00095090" w14:paraId="30BC1DCA" w14:textId="77777777" w:rsidTr="00680561">
        <w:tc>
          <w:tcPr>
            <w:tcW w:w="3969" w:type="dxa"/>
            <w:tcBorders>
              <w:bottom w:val="single" w:sz="4" w:space="0" w:color="auto"/>
            </w:tcBorders>
          </w:tcPr>
          <w:p w14:paraId="2D6E1AD2" w14:textId="77777777" w:rsidR="00407F0A" w:rsidRPr="00095090" w:rsidRDefault="00407F0A" w:rsidP="000B6FB4">
            <w:pPr>
              <w:pStyle w:val="Tabletext"/>
            </w:pPr>
            <w:r w:rsidRPr="00095090">
              <w:t>% of working students working</w:t>
            </w:r>
            <w:r>
              <w:t xml:space="preserve"> </w:t>
            </w:r>
            <w:r w:rsidRPr="00D14FEC">
              <w:t>≥ 15</w:t>
            </w:r>
            <w:r w:rsidRPr="00095090">
              <w:t xml:space="preserve"> hours per week</w:t>
            </w:r>
          </w:p>
        </w:tc>
        <w:tc>
          <w:tcPr>
            <w:tcW w:w="1134" w:type="dxa"/>
            <w:tcBorders>
              <w:bottom w:val="single" w:sz="4" w:space="0" w:color="auto"/>
            </w:tcBorders>
          </w:tcPr>
          <w:p w14:paraId="7407B5F7" w14:textId="77777777" w:rsidR="00407F0A" w:rsidRPr="00095090" w:rsidRDefault="00407F0A" w:rsidP="000B6FB4">
            <w:pPr>
              <w:pStyle w:val="Tabletext"/>
              <w:tabs>
                <w:tab w:val="decimal" w:pos="482"/>
              </w:tabs>
            </w:pPr>
            <w:r w:rsidRPr="00095090">
              <w:t>16.7</w:t>
            </w:r>
          </w:p>
        </w:tc>
        <w:tc>
          <w:tcPr>
            <w:tcW w:w="1134" w:type="dxa"/>
            <w:tcBorders>
              <w:bottom w:val="single" w:sz="4" w:space="0" w:color="auto"/>
            </w:tcBorders>
          </w:tcPr>
          <w:p w14:paraId="66DCB01A" w14:textId="77777777" w:rsidR="00407F0A" w:rsidRPr="00095090" w:rsidRDefault="00407F0A" w:rsidP="000B6FB4">
            <w:pPr>
              <w:pStyle w:val="Tabletext"/>
              <w:tabs>
                <w:tab w:val="decimal" w:pos="482"/>
              </w:tabs>
            </w:pPr>
            <w:r w:rsidRPr="00095090">
              <w:t>21.0</w:t>
            </w:r>
          </w:p>
        </w:tc>
        <w:tc>
          <w:tcPr>
            <w:tcW w:w="1134" w:type="dxa"/>
            <w:tcBorders>
              <w:bottom w:val="single" w:sz="4" w:space="0" w:color="auto"/>
            </w:tcBorders>
          </w:tcPr>
          <w:p w14:paraId="3B5CBA86" w14:textId="77777777" w:rsidR="00407F0A" w:rsidRPr="00095090" w:rsidRDefault="00407F0A" w:rsidP="000B6FB4">
            <w:pPr>
              <w:pStyle w:val="Tabletext"/>
              <w:tabs>
                <w:tab w:val="decimal" w:pos="482"/>
              </w:tabs>
            </w:pPr>
            <w:r w:rsidRPr="00095090">
              <w:t>19.2</w:t>
            </w:r>
          </w:p>
        </w:tc>
        <w:tc>
          <w:tcPr>
            <w:tcW w:w="1134" w:type="dxa"/>
            <w:tcBorders>
              <w:bottom w:val="single" w:sz="4" w:space="0" w:color="auto"/>
            </w:tcBorders>
          </w:tcPr>
          <w:p w14:paraId="6F6C81CA" w14:textId="77777777" w:rsidR="00407F0A" w:rsidRPr="00095090" w:rsidRDefault="00407F0A" w:rsidP="000B6FB4">
            <w:pPr>
              <w:pStyle w:val="Tabletext"/>
              <w:tabs>
                <w:tab w:val="decimal" w:pos="482"/>
              </w:tabs>
            </w:pPr>
            <w:r w:rsidRPr="00095090">
              <w:t>17.7</w:t>
            </w:r>
          </w:p>
        </w:tc>
      </w:tr>
    </w:tbl>
    <w:p w14:paraId="3BCFAE84" w14:textId="77777777" w:rsidR="00407F0A" w:rsidRDefault="00407F0A" w:rsidP="00407F0A">
      <w:pPr>
        <w:pStyle w:val="Source"/>
      </w:pPr>
      <w:r>
        <w:t>Note:</w:t>
      </w:r>
      <w:r>
        <w:tab/>
        <w:t>All figures are unweighted to provide an indication of the absolute level of working and working hours.</w:t>
      </w:r>
    </w:p>
    <w:p w14:paraId="2966D984" w14:textId="77777777" w:rsidR="00407F0A" w:rsidRDefault="00407F0A" w:rsidP="00407F0A">
      <w:pPr>
        <w:pStyle w:val="Heading3"/>
      </w:pPr>
      <w:r>
        <w:t>Average hours worked by student characteristics</w:t>
      </w:r>
    </w:p>
    <w:p w14:paraId="69B37571" w14:textId="763B4460" w:rsidR="00407F0A" w:rsidRDefault="00407F0A" w:rsidP="0035756F">
      <w:pPr>
        <w:pStyle w:val="Text"/>
      </w:pPr>
      <w:r>
        <w:t>Since we saw little variation in the characteristics of students by school</w:t>
      </w:r>
      <w:r w:rsidR="00C53A2F">
        <w:t>-</w:t>
      </w:r>
      <w:r>
        <w:t>year level, we focused on Year 12. Students who combine school and work are a reasonably homogenous group, in terms of work intensity, with limited variation in hours of work by background characteristics, a</w:t>
      </w:r>
      <w:r w:rsidR="00C53A2F">
        <w:t>part</w:t>
      </w:r>
      <w:r>
        <w:t xml:space="preserve"> from locality. Year 12 male students living in remote areas work for relatively more hours when in Year 12 (14.0) than their metropolitan counterparts (11.8), but this trend is not evident for females.</w:t>
      </w:r>
    </w:p>
    <w:p w14:paraId="24AD5DBF" w14:textId="0EEF6A7A" w:rsidR="00407F0A" w:rsidRDefault="00407F0A" w:rsidP="0035756F">
      <w:pPr>
        <w:pStyle w:val="Text"/>
      </w:pPr>
      <w:r>
        <w:t>However, where there is variation, those most likely to work do not always work the longest hours. For example, we know that females are more likely to work in Year 12 than males, but males work on average longer hours (12.1) than females (10.8). Similarly, those from a medium</w:t>
      </w:r>
      <w:r w:rsidR="00B544B3">
        <w:t>−</w:t>
      </w:r>
      <w:r>
        <w:t>high socioeconomic status</w:t>
      </w:r>
      <w:r w:rsidR="00CB097B">
        <w:t xml:space="preserve"> (SES)</w:t>
      </w:r>
      <w:r>
        <w:t xml:space="preserve"> are most likely to work but work on average fewer hours than those from lower</w:t>
      </w:r>
      <w:r w:rsidR="00B544B3">
        <w:t xml:space="preserve">-SES </w:t>
      </w:r>
      <w:r>
        <w:t>quartiles. Receipt of Youth Allowance does not appear to be a good differentiator of average hours worked in Year 12.</w:t>
      </w:r>
    </w:p>
    <w:p w14:paraId="2E2FBAF0" w14:textId="77777777" w:rsidR="0010685D" w:rsidRDefault="0010685D" w:rsidP="00407F0A">
      <w:pPr>
        <w:pStyle w:val="tabletitle0"/>
        <w:sectPr w:rsidR="0010685D" w:rsidSect="0010685D">
          <w:pgSz w:w="11907" w:h="16840" w:code="9"/>
          <w:pgMar w:top="1276" w:right="2552" w:bottom="851" w:left="1418" w:header="709" w:footer="556" w:gutter="0"/>
          <w:cols w:space="708"/>
          <w:docGrid w:linePitch="360"/>
        </w:sectPr>
      </w:pPr>
      <w:bookmarkStart w:id="265" w:name="_Ref227661078"/>
      <w:bookmarkStart w:id="266" w:name="_Toc297729169"/>
    </w:p>
    <w:p w14:paraId="29F23F3B" w14:textId="30364CDE" w:rsidR="00407F0A" w:rsidRDefault="00407F0A" w:rsidP="0010685D">
      <w:pPr>
        <w:pStyle w:val="tabletitle0"/>
        <w:spacing w:before="0"/>
      </w:pPr>
      <w:bookmarkStart w:id="267" w:name="_Toc19001680"/>
      <w:r>
        <w:lastRenderedPageBreak/>
        <w:t>Table</w:t>
      </w:r>
      <w:r w:rsidRPr="001C7B79">
        <w:t xml:space="preserve"> </w:t>
      </w:r>
      <w:r w:rsidR="00AB293C">
        <w:t>23</w:t>
      </w:r>
      <w:bookmarkEnd w:id="265"/>
      <w:r>
        <w:tab/>
        <w:t>Average hours worked in Year 12 by student characteristics, by gender</w:t>
      </w:r>
      <w:bookmarkEnd w:id="266"/>
      <w:bookmarkEnd w:id="267"/>
    </w:p>
    <w:tbl>
      <w:tblPr>
        <w:tblW w:w="8114" w:type="dxa"/>
        <w:tblBorders>
          <w:top w:val="single" w:sz="4" w:space="0" w:color="auto"/>
          <w:bottom w:val="single" w:sz="4" w:space="0" w:color="auto"/>
        </w:tblBorders>
        <w:tblLayout w:type="fixed"/>
        <w:tblLook w:val="0000" w:firstRow="0" w:lastRow="0" w:firstColumn="0" w:lastColumn="0" w:noHBand="0" w:noVBand="0"/>
      </w:tblPr>
      <w:tblGrid>
        <w:gridCol w:w="3578"/>
        <w:gridCol w:w="2268"/>
        <w:gridCol w:w="2268"/>
      </w:tblGrid>
      <w:tr w:rsidR="00407F0A" w:rsidRPr="00B52461" w14:paraId="22E00F4B" w14:textId="77777777" w:rsidTr="00680561">
        <w:trPr>
          <w:tblHeader/>
        </w:trPr>
        <w:tc>
          <w:tcPr>
            <w:tcW w:w="3578" w:type="dxa"/>
            <w:tcBorders>
              <w:bottom w:val="nil"/>
            </w:tcBorders>
            <w:shd w:val="clear" w:color="auto" w:fill="auto"/>
          </w:tcPr>
          <w:p w14:paraId="4D7081EA" w14:textId="77777777" w:rsidR="00407F0A" w:rsidRPr="00B52461" w:rsidRDefault="00407F0A" w:rsidP="000B6FB4">
            <w:pPr>
              <w:pStyle w:val="Tablehead1"/>
            </w:pPr>
          </w:p>
        </w:tc>
        <w:tc>
          <w:tcPr>
            <w:tcW w:w="2268" w:type="dxa"/>
            <w:tcBorders>
              <w:bottom w:val="nil"/>
            </w:tcBorders>
            <w:shd w:val="clear" w:color="auto" w:fill="auto"/>
          </w:tcPr>
          <w:p w14:paraId="7034D2C9" w14:textId="77777777" w:rsidR="00407F0A" w:rsidRPr="00B52461" w:rsidRDefault="00407F0A" w:rsidP="000B6FB4">
            <w:pPr>
              <w:pStyle w:val="Tablehead1"/>
              <w:jc w:val="center"/>
            </w:pPr>
            <w:r w:rsidRPr="00B52461">
              <w:t>Male</w:t>
            </w:r>
          </w:p>
        </w:tc>
        <w:tc>
          <w:tcPr>
            <w:tcW w:w="2268" w:type="dxa"/>
            <w:tcBorders>
              <w:bottom w:val="nil"/>
            </w:tcBorders>
            <w:shd w:val="clear" w:color="auto" w:fill="auto"/>
          </w:tcPr>
          <w:p w14:paraId="35874EA0" w14:textId="77777777" w:rsidR="00407F0A" w:rsidRPr="00B52461" w:rsidRDefault="00407F0A" w:rsidP="000B6FB4">
            <w:pPr>
              <w:pStyle w:val="Tablehead1"/>
              <w:jc w:val="center"/>
            </w:pPr>
            <w:r w:rsidRPr="00B52461">
              <w:t>Female</w:t>
            </w:r>
          </w:p>
        </w:tc>
      </w:tr>
      <w:tr w:rsidR="00407F0A" w:rsidRPr="009D3162" w14:paraId="74ED72FC" w14:textId="77777777" w:rsidTr="00680561">
        <w:trPr>
          <w:tblHeader/>
        </w:trPr>
        <w:tc>
          <w:tcPr>
            <w:tcW w:w="3578" w:type="dxa"/>
            <w:tcBorders>
              <w:top w:val="nil"/>
              <w:bottom w:val="single" w:sz="4" w:space="0" w:color="auto"/>
            </w:tcBorders>
            <w:shd w:val="clear" w:color="auto" w:fill="auto"/>
          </w:tcPr>
          <w:p w14:paraId="08B76872" w14:textId="77777777" w:rsidR="00407F0A" w:rsidRPr="009D3162" w:rsidRDefault="00407F0A" w:rsidP="000B6FB4">
            <w:pPr>
              <w:pStyle w:val="Tablehead2"/>
            </w:pPr>
            <w:r w:rsidRPr="009D3162">
              <w:t>Characteristic</w:t>
            </w:r>
          </w:p>
        </w:tc>
        <w:tc>
          <w:tcPr>
            <w:tcW w:w="2268" w:type="dxa"/>
            <w:tcBorders>
              <w:top w:val="nil"/>
              <w:bottom w:val="single" w:sz="4" w:space="0" w:color="auto"/>
            </w:tcBorders>
            <w:shd w:val="clear" w:color="auto" w:fill="auto"/>
          </w:tcPr>
          <w:p w14:paraId="7F2E99BA" w14:textId="77777777" w:rsidR="00407F0A" w:rsidRPr="009D3162" w:rsidRDefault="00407F0A" w:rsidP="000B6FB4">
            <w:pPr>
              <w:pStyle w:val="Tablehead2"/>
              <w:jc w:val="center"/>
            </w:pPr>
            <w:r w:rsidRPr="009D3162">
              <w:t xml:space="preserve">Mean </w:t>
            </w:r>
            <w:r>
              <w:t>hrs</w:t>
            </w:r>
            <w:r w:rsidRPr="009D3162">
              <w:t xml:space="preserve"> of work</w:t>
            </w:r>
            <w:r>
              <w:t xml:space="preserve"> per week</w:t>
            </w:r>
          </w:p>
        </w:tc>
        <w:tc>
          <w:tcPr>
            <w:tcW w:w="2268" w:type="dxa"/>
            <w:tcBorders>
              <w:top w:val="nil"/>
              <w:bottom w:val="single" w:sz="4" w:space="0" w:color="auto"/>
            </w:tcBorders>
            <w:shd w:val="clear" w:color="auto" w:fill="auto"/>
          </w:tcPr>
          <w:p w14:paraId="39CC7D3D" w14:textId="77777777" w:rsidR="00407F0A" w:rsidRPr="00FD16A9" w:rsidRDefault="00407F0A" w:rsidP="000B6FB4">
            <w:pPr>
              <w:pStyle w:val="Tablehead2"/>
              <w:jc w:val="center"/>
            </w:pPr>
            <w:r>
              <w:t>Mean hrs of work per week</w:t>
            </w:r>
          </w:p>
        </w:tc>
      </w:tr>
      <w:tr w:rsidR="00407F0A" w:rsidRPr="00296C7B" w14:paraId="7BA9D484" w14:textId="77777777" w:rsidTr="00680561">
        <w:tc>
          <w:tcPr>
            <w:tcW w:w="3578" w:type="dxa"/>
            <w:tcBorders>
              <w:top w:val="single" w:sz="4" w:space="0" w:color="auto"/>
            </w:tcBorders>
            <w:shd w:val="clear" w:color="auto" w:fill="auto"/>
            <w:noWrap/>
          </w:tcPr>
          <w:p w14:paraId="546127FB" w14:textId="77777777" w:rsidR="00407F0A" w:rsidRPr="009F477C" w:rsidRDefault="00407F0A" w:rsidP="000B6FB4">
            <w:pPr>
              <w:pStyle w:val="Tabletext"/>
              <w:rPr>
                <w:b/>
              </w:rPr>
            </w:pPr>
            <w:r w:rsidRPr="009F477C">
              <w:rPr>
                <w:b/>
              </w:rPr>
              <w:t>Locality</w:t>
            </w:r>
          </w:p>
        </w:tc>
        <w:tc>
          <w:tcPr>
            <w:tcW w:w="2268" w:type="dxa"/>
            <w:tcBorders>
              <w:top w:val="single" w:sz="4" w:space="0" w:color="auto"/>
            </w:tcBorders>
            <w:shd w:val="clear" w:color="auto" w:fill="auto"/>
            <w:noWrap/>
          </w:tcPr>
          <w:p w14:paraId="2E479A88" w14:textId="77777777" w:rsidR="00407F0A" w:rsidRPr="00296C7B" w:rsidRDefault="00407F0A" w:rsidP="000B6FB4">
            <w:pPr>
              <w:pStyle w:val="Tabletext"/>
            </w:pPr>
          </w:p>
        </w:tc>
        <w:tc>
          <w:tcPr>
            <w:tcW w:w="2268" w:type="dxa"/>
            <w:tcBorders>
              <w:top w:val="single" w:sz="4" w:space="0" w:color="auto"/>
            </w:tcBorders>
            <w:shd w:val="clear" w:color="auto" w:fill="auto"/>
          </w:tcPr>
          <w:p w14:paraId="0C001ECA" w14:textId="77777777" w:rsidR="00407F0A" w:rsidRPr="00296C7B" w:rsidRDefault="00407F0A" w:rsidP="000B6FB4">
            <w:pPr>
              <w:pStyle w:val="Tabletext"/>
            </w:pPr>
          </w:p>
        </w:tc>
      </w:tr>
      <w:tr w:rsidR="00407F0A" w:rsidRPr="009D3162" w14:paraId="4579AB89" w14:textId="77777777" w:rsidTr="00680561">
        <w:tc>
          <w:tcPr>
            <w:tcW w:w="3578" w:type="dxa"/>
            <w:shd w:val="clear" w:color="auto" w:fill="auto"/>
            <w:noWrap/>
          </w:tcPr>
          <w:p w14:paraId="3D4AC171" w14:textId="77777777" w:rsidR="00407F0A" w:rsidRPr="009D3162" w:rsidRDefault="00407F0A" w:rsidP="000B6FB4">
            <w:pPr>
              <w:pStyle w:val="Tabletext"/>
              <w:ind w:left="227"/>
            </w:pPr>
            <w:r w:rsidRPr="009D3162">
              <w:t>Metropolitan</w:t>
            </w:r>
          </w:p>
        </w:tc>
        <w:tc>
          <w:tcPr>
            <w:tcW w:w="2268" w:type="dxa"/>
            <w:shd w:val="clear" w:color="auto" w:fill="auto"/>
          </w:tcPr>
          <w:p w14:paraId="77EBDEB2" w14:textId="77777777" w:rsidR="00407F0A" w:rsidRPr="009D3162" w:rsidRDefault="00407F0A" w:rsidP="000B6FB4">
            <w:pPr>
              <w:pStyle w:val="Tabletext"/>
              <w:tabs>
                <w:tab w:val="decimal" w:pos="1134"/>
              </w:tabs>
            </w:pPr>
            <w:r w:rsidRPr="009D3162">
              <w:t>11.8</w:t>
            </w:r>
          </w:p>
        </w:tc>
        <w:tc>
          <w:tcPr>
            <w:tcW w:w="2268" w:type="dxa"/>
            <w:shd w:val="clear" w:color="auto" w:fill="auto"/>
          </w:tcPr>
          <w:p w14:paraId="2ECB39EB" w14:textId="77777777" w:rsidR="00407F0A" w:rsidRPr="00FD16A9" w:rsidRDefault="00407F0A" w:rsidP="000B6FB4">
            <w:pPr>
              <w:pStyle w:val="Tabletext"/>
              <w:tabs>
                <w:tab w:val="decimal" w:pos="1134"/>
              </w:tabs>
            </w:pPr>
            <w:r>
              <w:t>10.7</w:t>
            </w:r>
          </w:p>
        </w:tc>
      </w:tr>
      <w:tr w:rsidR="00407F0A" w:rsidRPr="009D3162" w14:paraId="11935B6D" w14:textId="77777777" w:rsidTr="00680561">
        <w:tc>
          <w:tcPr>
            <w:tcW w:w="3578" w:type="dxa"/>
            <w:shd w:val="clear" w:color="auto" w:fill="auto"/>
            <w:noWrap/>
          </w:tcPr>
          <w:p w14:paraId="67B68554" w14:textId="77777777" w:rsidR="00407F0A" w:rsidRPr="009D3162" w:rsidRDefault="00407F0A" w:rsidP="000B6FB4">
            <w:pPr>
              <w:pStyle w:val="Tabletext"/>
              <w:ind w:left="227"/>
            </w:pPr>
            <w:r w:rsidRPr="009D3162">
              <w:t>Regional</w:t>
            </w:r>
          </w:p>
        </w:tc>
        <w:tc>
          <w:tcPr>
            <w:tcW w:w="2268" w:type="dxa"/>
            <w:shd w:val="clear" w:color="auto" w:fill="auto"/>
          </w:tcPr>
          <w:p w14:paraId="6025CA32" w14:textId="77777777" w:rsidR="00407F0A" w:rsidRPr="009D3162" w:rsidRDefault="00407F0A" w:rsidP="000B6FB4">
            <w:pPr>
              <w:pStyle w:val="Tabletext"/>
              <w:tabs>
                <w:tab w:val="decimal" w:pos="1134"/>
              </w:tabs>
            </w:pPr>
            <w:r w:rsidRPr="009D3162">
              <w:t>13.0</w:t>
            </w:r>
          </w:p>
        </w:tc>
        <w:tc>
          <w:tcPr>
            <w:tcW w:w="2268" w:type="dxa"/>
            <w:shd w:val="clear" w:color="auto" w:fill="auto"/>
          </w:tcPr>
          <w:p w14:paraId="24CAC279" w14:textId="77777777" w:rsidR="00407F0A" w:rsidRPr="00FD16A9" w:rsidRDefault="00407F0A" w:rsidP="000B6FB4">
            <w:pPr>
              <w:pStyle w:val="Tabletext"/>
              <w:tabs>
                <w:tab w:val="decimal" w:pos="1134"/>
              </w:tabs>
            </w:pPr>
            <w:r>
              <w:t>11.0</w:t>
            </w:r>
          </w:p>
        </w:tc>
      </w:tr>
      <w:tr w:rsidR="00407F0A" w:rsidRPr="009D3162" w14:paraId="70746C5B" w14:textId="77777777" w:rsidTr="00680561">
        <w:tc>
          <w:tcPr>
            <w:tcW w:w="3578" w:type="dxa"/>
            <w:shd w:val="clear" w:color="auto" w:fill="auto"/>
            <w:noWrap/>
          </w:tcPr>
          <w:p w14:paraId="5D27124D" w14:textId="77777777" w:rsidR="00407F0A" w:rsidRPr="009D3162" w:rsidRDefault="00407F0A" w:rsidP="000B6FB4">
            <w:pPr>
              <w:pStyle w:val="Tabletext"/>
              <w:ind w:left="227"/>
            </w:pPr>
            <w:r w:rsidRPr="009D3162">
              <w:t>Remote</w:t>
            </w:r>
          </w:p>
        </w:tc>
        <w:tc>
          <w:tcPr>
            <w:tcW w:w="2268" w:type="dxa"/>
            <w:shd w:val="clear" w:color="auto" w:fill="auto"/>
          </w:tcPr>
          <w:p w14:paraId="3EF60C88" w14:textId="77777777" w:rsidR="00407F0A" w:rsidRPr="009D3162" w:rsidRDefault="00407F0A" w:rsidP="000B6FB4">
            <w:pPr>
              <w:pStyle w:val="Tabletext"/>
              <w:tabs>
                <w:tab w:val="decimal" w:pos="1134"/>
              </w:tabs>
            </w:pPr>
            <w:r w:rsidRPr="009D3162">
              <w:t>14.0</w:t>
            </w:r>
          </w:p>
        </w:tc>
        <w:tc>
          <w:tcPr>
            <w:tcW w:w="2268" w:type="dxa"/>
            <w:shd w:val="clear" w:color="auto" w:fill="auto"/>
          </w:tcPr>
          <w:p w14:paraId="004BA137" w14:textId="77777777" w:rsidR="00407F0A" w:rsidRPr="00FD16A9" w:rsidRDefault="00407F0A" w:rsidP="000B6FB4">
            <w:pPr>
              <w:pStyle w:val="Tabletext"/>
              <w:tabs>
                <w:tab w:val="decimal" w:pos="1134"/>
              </w:tabs>
            </w:pPr>
            <w:r>
              <w:t>10.4</w:t>
            </w:r>
          </w:p>
        </w:tc>
      </w:tr>
      <w:tr w:rsidR="00407F0A" w:rsidRPr="00296C7B" w14:paraId="442B6BE5" w14:textId="77777777" w:rsidTr="00680561">
        <w:tc>
          <w:tcPr>
            <w:tcW w:w="3578" w:type="dxa"/>
            <w:shd w:val="clear" w:color="auto" w:fill="auto"/>
            <w:noWrap/>
          </w:tcPr>
          <w:p w14:paraId="3D6DD3CC" w14:textId="77777777" w:rsidR="00407F0A" w:rsidRPr="009F477C" w:rsidRDefault="00407F0A" w:rsidP="000B6FB4">
            <w:pPr>
              <w:pStyle w:val="Tabletext"/>
              <w:rPr>
                <w:b/>
                <w:bCs/>
              </w:rPr>
            </w:pPr>
            <w:r w:rsidRPr="009F477C">
              <w:rPr>
                <w:b/>
                <w:bCs/>
              </w:rPr>
              <w:t>School sector</w:t>
            </w:r>
          </w:p>
        </w:tc>
        <w:tc>
          <w:tcPr>
            <w:tcW w:w="2268" w:type="dxa"/>
            <w:shd w:val="clear" w:color="auto" w:fill="auto"/>
            <w:noWrap/>
          </w:tcPr>
          <w:p w14:paraId="3963212F" w14:textId="77777777" w:rsidR="00407F0A" w:rsidRPr="00296C7B" w:rsidRDefault="00407F0A" w:rsidP="000B6FB4">
            <w:pPr>
              <w:pStyle w:val="Tabletext"/>
              <w:tabs>
                <w:tab w:val="decimal" w:pos="1134"/>
              </w:tabs>
            </w:pPr>
          </w:p>
        </w:tc>
        <w:tc>
          <w:tcPr>
            <w:tcW w:w="2268" w:type="dxa"/>
            <w:shd w:val="clear" w:color="auto" w:fill="auto"/>
          </w:tcPr>
          <w:p w14:paraId="2AFCED61" w14:textId="77777777" w:rsidR="00407F0A" w:rsidRPr="00296C7B" w:rsidRDefault="00407F0A" w:rsidP="000B6FB4">
            <w:pPr>
              <w:pStyle w:val="Tabletext"/>
              <w:tabs>
                <w:tab w:val="decimal" w:pos="1134"/>
              </w:tabs>
            </w:pPr>
          </w:p>
        </w:tc>
      </w:tr>
      <w:tr w:rsidR="00407F0A" w:rsidRPr="009D3162" w14:paraId="1B8AEF53" w14:textId="77777777" w:rsidTr="00680561">
        <w:tc>
          <w:tcPr>
            <w:tcW w:w="3578" w:type="dxa"/>
            <w:shd w:val="clear" w:color="auto" w:fill="auto"/>
          </w:tcPr>
          <w:p w14:paraId="50D6F8DF" w14:textId="77777777" w:rsidR="00407F0A" w:rsidRPr="009D3162" w:rsidRDefault="00407F0A" w:rsidP="000B6FB4">
            <w:pPr>
              <w:pStyle w:val="Tabletext"/>
              <w:ind w:left="227"/>
            </w:pPr>
            <w:r w:rsidRPr="009D3162">
              <w:t>Government</w:t>
            </w:r>
          </w:p>
        </w:tc>
        <w:tc>
          <w:tcPr>
            <w:tcW w:w="2268" w:type="dxa"/>
            <w:shd w:val="clear" w:color="auto" w:fill="auto"/>
          </w:tcPr>
          <w:p w14:paraId="62166431" w14:textId="77777777" w:rsidR="00407F0A" w:rsidRPr="009D3162" w:rsidRDefault="00407F0A" w:rsidP="000B6FB4">
            <w:pPr>
              <w:pStyle w:val="Tabletext"/>
              <w:tabs>
                <w:tab w:val="decimal" w:pos="1134"/>
              </w:tabs>
            </w:pPr>
            <w:r w:rsidRPr="009D3162">
              <w:t>12.8</w:t>
            </w:r>
          </w:p>
        </w:tc>
        <w:tc>
          <w:tcPr>
            <w:tcW w:w="2268" w:type="dxa"/>
            <w:shd w:val="clear" w:color="auto" w:fill="auto"/>
          </w:tcPr>
          <w:p w14:paraId="100E9C32" w14:textId="77777777" w:rsidR="00407F0A" w:rsidRPr="00FD16A9" w:rsidRDefault="00407F0A" w:rsidP="000B6FB4">
            <w:pPr>
              <w:pStyle w:val="Tabletext"/>
              <w:tabs>
                <w:tab w:val="decimal" w:pos="1134"/>
              </w:tabs>
            </w:pPr>
            <w:r>
              <w:t>11.3</w:t>
            </w:r>
          </w:p>
        </w:tc>
      </w:tr>
      <w:tr w:rsidR="00407F0A" w:rsidRPr="009D3162" w14:paraId="7EA6C8AB" w14:textId="77777777" w:rsidTr="00680561">
        <w:tc>
          <w:tcPr>
            <w:tcW w:w="3578" w:type="dxa"/>
            <w:shd w:val="clear" w:color="auto" w:fill="auto"/>
          </w:tcPr>
          <w:p w14:paraId="3C0C0FBB" w14:textId="77777777" w:rsidR="00407F0A" w:rsidRPr="009D3162" w:rsidRDefault="00407F0A" w:rsidP="000B6FB4">
            <w:pPr>
              <w:pStyle w:val="Tabletext"/>
              <w:ind w:left="227"/>
            </w:pPr>
            <w:r>
              <w:t>Catholic</w:t>
            </w:r>
          </w:p>
        </w:tc>
        <w:tc>
          <w:tcPr>
            <w:tcW w:w="2268" w:type="dxa"/>
            <w:shd w:val="clear" w:color="auto" w:fill="auto"/>
          </w:tcPr>
          <w:p w14:paraId="35C444D6" w14:textId="77777777" w:rsidR="00407F0A" w:rsidRPr="009D3162" w:rsidRDefault="00407F0A" w:rsidP="000B6FB4">
            <w:pPr>
              <w:pStyle w:val="Tabletext"/>
              <w:tabs>
                <w:tab w:val="decimal" w:pos="1134"/>
              </w:tabs>
            </w:pPr>
            <w:r w:rsidRPr="009D3162">
              <w:t>11.3</w:t>
            </w:r>
          </w:p>
        </w:tc>
        <w:tc>
          <w:tcPr>
            <w:tcW w:w="2268" w:type="dxa"/>
            <w:shd w:val="clear" w:color="auto" w:fill="auto"/>
          </w:tcPr>
          <w:p w14:paraId="45919FA8" w14:textId="77777777" w:rsidR="00407F0A" w:rsidRPr="00FD16A9" w:rsidRDefault="00407F0A" w:rsidP="000B6FB4">
            <w:pPr>
              <w:pStyle w:val="Tabletext"/>
              <w:tabs>
                <w:tab w:val="decimal" w:pos="1134"/>
              </w:tabs>
            </w:pPr>
            <w:r>
              <w:t>10.4</w:t>
            </w:r>
          </w:p>
        </w:tc>
      </w:tr>
      <w:tr w:rsidR="00407F0A" w:rsidRPr="009D3162" w14:paraId="279734C9" w14:textId="77777777" w:rsidTr="00680561">
        <w:tc>
          <w:tcPr>
            <w:tcW w:w="3578" w:type="dxa"/>
            <w:shd w:val="clear" w:color="auto" w:fill="auto"/>
          </w:tcPr>
          <w:p w14:paraId="5F6D43C0" w14:textId="77777777" w:rsidR="00407F0A" w:rsidRPr="009D3162" w:rsidRDefault="00407F0A" w:rsidP="000B6FB4">
            <w:pPr>
              <w:pStyle w:val="Tabletext"/>
              <w:ind w:left="227"/>
            </w:pPr>
            <w:r w:rsidRPr="009D3162">
              <w:t>Independent</w:t>
            </w:r>
          </w:p>
        </w:tc>
        <w:tc>
          <w:tcPr>
            <w:tcW w:w="2268" w:type="dxa"/>
            <w:shd w:val="clear" w:color="auto" w:fill="auto"/>
          </w:tcPr>
          <w:p w14:paraId="7DCD11DC" w14:textId="77777777" w:rsidR="00407F0A" w:rsidRPr="009D3162" w:rsidRDefault="00407F0A" w:rsidP="000B6FB4">
            <w:pPr>
              <w:pStyle w:val="Tabletext"/>
              <w:tabs>
                <w:tab w:val="decimal" w:pos="1134"/>
              </w:tabs>
            </w:pPr>
            <w:r w:rsidRPr="009D3162">
              <w:t>10.8</w:t>
            </w:r>
          </w:p>
        </w:tc>
        <w:tc>
          <w:tcPr>
            <w:tcW w:w="2268" w:type="dxa"/>
            <w:shd w:val="clear" w:color="auto" w:fill="auto"/>
          </w:tcPr>
          <w:p w14:paraId="3F332174" w14:textId="77777777" w:rsidR="00407F0A" w:rsidRPr="00FD16A9" w:rsidRDefault="00407F0A" w:rsidP="000B6FB4">
            <w:pPr>
              <w:pStyle w:val="Tabletext"/>
              <w:tabs>
                <w:tab w:val="decimal" w:pos="1134"/>
              </w:tabs>
            </w:pPr>
            <w:r>
              <w:t>9.1</w:t>
            </w:r>
          </w:p>
        </w:tc>
      </w:tr>
      <w:tr w:rsidR="00407F0A" w:rsidRPr="00296C7B" w14:paraId="7C6A93D2" w14:textId="77777777" w:rsidTr="00680561">
        <w:tc>
          <w:tcPr>
            <w:tcW w:w="3578" w:type="dxa"/>
            <w:shd w:val="clear" w:color="auto" w:fill="auto"/>
            <w:noWrap/>
          </w:tcPr>
          <w:p w14:paraId="6ED0CE18" w14:textId="77777777" w:rsidR="00407F0A" w:rsidRPr="009F477C" w:rsidRDefault="00407F0A" w:rsidP="000B6FB4">
            <w:pPr>
              <w:pStyle w:val="Tabletext"/>
              <w:rPr>
                <w:b/>
              </w:rPr>
            </w:pPr>
            <w:r w:rsidRPr="009F477C">
              <w:rPr>
                <w:b/>
              </w:rPr>
              <w:t>SES</w:t>
            </w:r>
          </w:p>
        </w:tc>
        <w:tc>
          <w:tcPr>
            <w:tcW w:w="2268" w:type="dxa"/>
            <w:shd w:val="clear" w:color="auto" w:fill="auto"/>
          </w:tcPr>
          <w:p w14:paraId="5B7F6F12" w14:textId="77777777" w:rsidR="00407F0A" w:rsidRPr="00296C7B" w:rsidRDefault="00407F0A" w:rsidP="000B6FB4">
            <w:pPr>
              <w:pStyle w:val="Tabletext"/>
              <w:tabs>
                <w:tab w:val="decimal" w:pos="1134"/>
              </w:tabs>
            </w:pPr>
          </w:p>
        </w:tc>
        <w:tc>
          <w:tcPr>
            <w:tcW w:w="2268" w:type="dxa"/>
            <w:shd w:val="clear" w:color="auto" w:fill="auto"/>
          </w:tcPr>
          <w:p w14:paraId="42D4E539" w14:textId="77777777" w:rsidR="00407F0A" w:rsidRPr="00296C7B" w:rsidRDefault="00407F0A" w:rsidP="000B6FB4">
            <w:pPr>
              <w:pStyle w:val="Tabletext"/>
              <w:tabs>
                <w:tab w:val="decimal" w:pos="1134"/>
              </w:tabs>
            </w:pPr>
          </w:p>
        </w:tc>
      </w:tr>
      <w:tr w:rsidR="00407F0A" w:rsidRPr="009D3162" w14:paraId="02D6CA67" w14:textId="77777777" w:rsidTr="00680561">
        <w:tc>
          <w:tcPr>
            <w:tcW w:w="3578" w:type="dxa"/>
            <w:shd w:val="clear" w:color="auto" w:fill="auto"/>
            <w:noWrap/>
          </w:tcPr>
          <w:p w14:paraId="1FB5D082" w14:textId="7730EA2E" w:rsidR="00407F0A" w:rsidRPr="009D3162" w:rsidRDefault="00407F0A" w:rsidP="000B6FB4">
            <w:pPr>
              <w:pStyle w:val="Tabletext"/>
              <w:ind w:left="227"/>
            </w:pPr>
            <w:r w:rsidRPr="009D3162">
              <w:t>Low</w:t>
            </w:r>
            <w:r w:rsidR="004521C5">
              <w:t>-</w:t>
            </w:r>
            <w:r w:rsidRPr="009D3162">
              <w:t>SES quartile</w:t>
            </w:r>
          </w:p>
        </w:tc>
        <w:tc>
          <w:tcPr>
            <w:tcW w:w="2268" w:type="dxa"/>
            <w:shd w:val="clear" w:color="auto" w:fill="auto"/>
          </w:tcPr>
          <w:p w14:paraId="1D0CD063" w14:textId="77777777" w:rsidR="00407F0A" w:rsidRPr="009D3162" w:rsidRDefault="00407F0A" w:rsidP="000B6FB4">
            <w:pPr>
              <w:pStyle w:val="Tabletext"/>
              <w:tabs>
                <w:tab w:val="decimal" w:pos="1134"/>
              </w:tabs>
            </w:pPr>
            <w:r w:rsidRPr="009D3162">
              <w:t>13.6</w:t>
            </w:r>
          </w:p>
        </w:tc>
        <w:tc>
          <w:tcPr>
            <w:tcW w:w="2268" w:type="dxa"/>
            <w:shd w:val="clear" w:color="auto" w:fill="auto"/>
          </w:tcPr>
          <w:p w14:paraId="0FA3328B" w14:textId="77777777" w:rsidR="00407F0A" w:rsidRPr="00FD16A9" w:rsidRDefault="00407F0A" w:rsidP="000B6FB4">
            <w:pPr>
              <w:pStyle w:val="Tabletext"/>
              <w:tabs>
                <w:tab w:val="decimal" w:pos="1134"/>
              </w:tabs>
            </w:pPr>
            <w:r>
              <w:t>11.1</w:t>
            </w:r>
          </w:p>
        </w:tc>
      </w:tr>
      <w:tr w:rsidR="00407F0A" w:rsidRPr="009D3162" w14:paraId="5B1B2899" w14:textId="77777777" w:rsidTr="00680561">
        <w:tc>
          <w:tcPr>
            <w:tcW w:w="3578" w:type="dxa"/>
            <w:shd w:val="clear" w:color="auto" w:fill="auto"/>
            <w:noWrap/>
          </w:tcPr>
          <w:p w14:paraId="051F84F9" w14:textId="3C013243" w:rsidR="00407F0A" w:rsidRPr="009D3162" w:rsidRDefault="00407F0A" w:rsidP="000B6FB4">
            <w:pPr>
              <w:pStyle w:val="Tabletext"/>
              <w:ind w:left="227"/>
            </w:pPr>
            <w:r w:rsidRPr="009D3162">
              <w:t>Low</w:t>
            </w:r>
            <w:r w:rsidR="004521C5">
              <w:rPr>
                <w:rFonts w:cs="Arial"/>
              </w:rPr>
              <w:t>−</w:t>
            </w:r>
            <w:r w:rsidRPr="009D3162">
              <w:t>medium SES quartile</w:t>
            </w:r>
          </w:p>
        </w:tc>
        <w:tc>
          <w:tcPr>
            <w:tcW w:w="2268" w:type="dxa"/>
            <w:shd w:val="clear" w:color="auto" w:fill="auto"/>
          </w:tcPr>
          <w:p w14:paraId="253CF6BD" w14:textId="77777777" w:rsidR="00407F0A" w:rsidRPr="009D3162" w:rsidRDefault="00407F0A" w:rsidP="000B6FB4">
            <w:pPr>
              <w:pStyle w:val="Tabletext"/>
              <w:tabs>
                <w:tab w:val="decimal" w:pos="1134"/>
              </w:tabs>
            </w:pPr>
            <w:r w:rsidRPr="009D3162">
              <w:t>12.4</w:t>
            </w:r>
          </w:p>
        </w:tc>
        <w:tc>
          <w:tcPr>
            <w:tcW w:w="2268" w:type="dxa"/>
            <w:shd w:val="clear" w:color="auto" w:fill="auto"/>
          </w:tcPr>
          <w:p w14:paraId="2ED2768F" w14:textId="77777777" w:rsidR="00407F0A" w:rsidRPr="00FD16A9" w:rsidRDefault="00407F0A" w:rsidP="000B6FB4">
            <w:pPr>
              <w:pStyle w:val="Tabletext"/>
              <w:tabs>
                <w:tab w:val="decimal" w:pos="1134"/>
              </w:tabs>
            </w:pPr>
            <w:r>
              <w:t>11.3</w:t>
            </w:r>
          </w:p>
        </w:tc>
      </w:tr>
      <w:tr w:rsidR="00407F0A" w:rsidRPr="009D3162" w14:paraId="3D5EC601" w14:textId="77777777" w:rsidTr="00680561">
        <w:tc>
          <w:tcPr>
            <w:tcW w:w="3578" w:type="dxa"/>
            <w:shd w:val="clear" w:color="auto" w:fill="auto"/>
            <w:noWrap/>
          </w:tcPr>
          <w:p w14:paraId="3BF15335" w14:textId="36D41BF7" w:rsidR="00407F0A" w:rsidRPr="009D3162" w:rsidRDefault="00407F0A" w:rsidP="000B6FB4">
            <w:pPr>
              <w:pStyle w:val="Tabletext"/>
              <w:ind w:left="227"/>
            </w:pPr>
            <w:r w:rsidRPr="009D3162">
              <w:t>Medium</w:t>
            </w:r>
            <w:r w:rsidR="004521C5">
              <w:rPr>
                <w:rFonts w:cs="Arial"/>
              </w:rPr>
              <w:t>−</w:t>
            </w:r>
            <w:r w:rsidRPr="009D3162">
              <w:t>high SES quartile</w:t>
            </w:r>
          </w:p>
        </w:tc>
        <w:tc>
          <w:tcPr>
            <w:tcW w:w="2268" w:type="dxa"/>
            <w:shd w:val="clear" w:color="auto" w:fill="auto"/>
          </w:tcPr>
          <w:p w14:paraId="3411DD57" w14:textId="77777777" w:rsidR="00407F0A" w:rsidRPr="009D3162" w:rsidRDefault="00407F0A" w:rsidP="000B6FB4">
            <w:pPr>
              <w:pStyle w:val="Tabletext"/>
              <w:tabs>
                <w:tab w:val="decimal" w:pos="1134"/>
              </w:tabs>
            </w:pPr>
            <w:r w:rsidRPr="009D3162">
              <w:t>11.7</w:t>
            </w:r>
          </w:p>
        </w:tc>
        <w:tc>
          <w:tcPr>
            <w:tcW w:w="2268" w:type="dxa"/>
            <w:shd w:val="clear" w:color="auto" w:fill="auto"/>
          </w:tcPr>
          <w:p w14:paraId="2C651837" w14:textId="77777777" w:rsidR="00407F0A" w:rsidRPr="00FD16A9" w:rsidRDefault="00407F0A" w:rsidP="000B6FB4">
            <w:pPr>
              <w:pStyle w:val="Tabletext"/>
              <w:tabs>
                <w:tab w:val="decimal" w:pos="1134"/>
              </w:tabs>
            </w:pPr>
            <w:r>
              <w:t>10.9</w:t>
            </w:r>
          </w:p>
        </w:tc>
      </w:tr>
      <w:tr w:rsidR="00407F0A" w:rsidRPr="009D3162" w14:paraId="0F51018D" w14:textId="77777777" w:rsidTr="00680561">
        <w:tc>
          <w:tcPr>
            <w:tcW w:w="3578" w:type="dxa"/>
            <w:shd w:val="clear" w:color="auto" w:fill="auto"/>
            <w:noWrap/>
          </w:tcPr>
          <w:p w14:paraId="77DEEDE6" w14:textId="00895CD3" w:rsidR="00407F0A" w:rsidRPr="009D3162" w:rsidRDefault="00407F0A" w:rsidP="000B6FB4">
            <w:pPr>
              <w:pStyle w:val="Tabletext"/>
              <w:ind w:left="227"/>
            </w:pPr>
            <w:r w:rsidRPr="009D3162">
              <w:t>High</w:t>
            </w:r>
            <w:r w:rsidR="008C074D">
              <w:t>-</w:t>
            </w:r>
            <w:r w:rsidRPr="009D3162">
              <w:t>SES quartile</w:t>
            </w:r>
          </w:p>
        </w:tc>
        <w:tc>
          <w:tcPr>
            <w:tcW w:w="2268" w:type="dxa"/>
            <w:shd w:val="clear" w:color="auto" w:fill="auto"/>
          </w:tcPr>
          <w:p w14:paraId="3E599315" w14:textId="77777777" w:rsidR="00407F0A" w:rsidRPr="009D3162" w:rsidRDefault="00407F0A" w:rsidP="000B6FB4">
            <w:pPr>
              <w:pStyle w:val="Tabletext"/>
              <w:tabs>
                <w:tab w:val="decimal" w:pos="1134"/>
              </w:tabs>
            </w:pPr>
            <w:r w:rsidRPr="009D3162">
              <w:t>11.0</w:t>
            </w:r>
          </w:p>
        </w:tc>
        <w:tc>
          <w:tcPr>
            <w:tcW w:w="2268" w:type="dxa"/>
            <w:shd w:val="clear" w:color="auto" w:fill="auto"/>
          </w:tcPr>
          <w:p w14:paraId="0D6C504B" w14:textId="77777777" w:rsidR="00407F0A" w:rsidRPr="00FD16A9" w:rsidRDefault="00407F0A" w:rsidP="000B6FB4">
            <w:pPr>
              <w:pStyle w:val="Tabletext"/>
              <w:tabs>
                <w:tab w:val="decimal" w:pos="1134"/>
              </w:tabs>
            </w:pPr>
            <w:r>
              <w:t>10.0</w:t>
            </w:r>
          </w:p>
        </w:tc>
      </w:tr>
      <w:tr w:rsidR="00407F0A" w:rsidRPr="00296C7B" w14:paraId="4D4995CB" w14:textId="77777777" w:rsidTr="00680561">
        <w:tc>
          <w:tcPr>
            <w:tcW w:w="3578" w:type="dxa"/>
            <w:shd w:val="clear" w:color="auto" w:fill="auto"/>
            <w:noWrap/>
          </w:tcPr>
          <w:p w14:paraId="31B52975" w14:textId="77777777" w:rsidR="00407F0A" w:rsidRPr="009F477C" w:rsidRDefault="00407F0A" w:rsidP="000B6FB4">
            <w:pPr>
              <w:pStyle w:val="Tabletext"/>
              <w:rPr>
                <w:b/>
              </w:rPr>
            </w:pPr>
            <w:r w:rsidRPr="009F477C">
              <w:rPr>
                <w:b/>
              </w:rPr>
              <w:t>Post-school intentions</w:t>
            </w:r>
          </w:p>
        </w:tc>
        <w:tc>
          <w:tcPr>
            <w:tcW w:w="2268" w:type="dxa"/>
            <w:shd w:val="clear" w:color="auto" w:fill="auto"/>
            <w:noWrap/>
          </w:tcPr>
          <w:p w14:paraId="0E043FEE" w14:textId="77777777" w:rsidR="00407F0A" w:rsidRPr="00296C7B" w:rsidRDefault="00407F0A" w:rsidP="000B6FB4">
            <w:pPr>
              <w:pStyle w:val="Tabletext"/>
              <w:tabs>
                <w:tab w:val="decimal" w:pos="1134"/>
              </w:tabs>
            </w:pPr>
          </w:p>
        </w:tc>
        <w:tc>
          <w:tcPr>
            <w:tcW w:w="2268" w:type="dxa"/>
            <w:shd w:val="clear" w:color="auto" w:fill="auto"/>
          </w:tcPr>
          <w:p w14:paraId="54153971" w14:textId="77777777" w:rsidR="00407F0A" w:rsidRPr="00296C7B" w:rsidRDefault="00407F0A" w:rsidP="000B6FB4">
            <w:pPr>
              <w:pStyle w:val="Tabletext"/>
              <w:tabs>
                <w:tab w:val="decimal" w:pos="1134"/>
              </w:tabs>
            </w:pPr>
          </w:p>
        </w:tc>
      </w:tr>
      <w:tr w:rsidR="00407F0A" w:rsidRPr="009D3162" w14:paraId="1BE7308D" w14:textId="77777777" w:rsidTr="00680561">
        <w:tc>
          <w:tcPr>
            <w:tcW w:w="3578" w:type="dxa"/>
            <w:shd w:val="clear" w:color="auto" w:fill="auto"/>
            <w:noWrap/>
          </w:tcPr>
          <w:p w14:paraId="1B045C3F" w14:textId="77777777" w:rsidR="00407F0A" w:rsidRPr="009D3162" w:rsidRDefault="00407F0A" w:rsidP="000B6FB4">
            <w:pPr>
              <w:pStyle w:val="Tabletext"/>
              <w:ind w:left="227"/>
            </w:pPr>
            <w:r w:rsidRPr="009D3162">
              <w:t>Go to university</w:t>
            </w:r>
          </w:p>
        </w:tc>
        <w:tc>
          <w:tcPr>
            <w:tcW w:w="2268" w:type="dxa"/>
            <w:shd w:val="clear" w:color="auto" w:fill="auto"/>
          </w:tcPr>
          <w:p w14:paraId="1153AC04" w14:textId="77777777" w:rsidR="00407F0A" w:rsidRPr="009D3162" w:rsidRDefault="00407F0A" w:rsidP="000B6FB4">
            <w:pPr>
              <w:pStyle w:val="Tabletext"/>
              <w:tabs>
                <w:tab w:val="decimal" w:pos="1134"/>
              </w:tabs>
            </w:pPr>
            <w:r w:rsidRPr="009D3162">
              <w:t>9.9</w:t>
            </w:r>
          </w:p>
        </w:tc>
        <w:tc>
          <w:tcPr>
            <w:tcW w:w="2268" w:type="dxa"/>
            <w:shd w:val="clear" w:color="auto" w:fill="auto"/>
          </w:tcPr>
          <w:p w14:paraId="51FAC1BC" w14:textId="77777777" w:rsidR="00407F0A" w:rsidRPr="00FD16A9" w:rsidRDefault="00407F0A" w:rsidP="000B6FB4">
            <w:pPr>
              <w:pStyle w:val="Tabletext"/>
              <w:tabs>
                <w:tab w:val="decimal" w:pos="1134"/>
              </w:tabs>
            </w:pPr>
            <w:r>
              <w:t>9.5</w:t>
            </w:r>
          </w:p>
        </w:tc>
      </w:tr>
      <w:tr w:rsidR="00407F0A" w:rsidRPr="009D3162" w14:paraId="4781AA52" w14:textId="77777777" w:rsidTr="00680561">
        <w:tc>
          <w:tcPr>
            <w:tcW w:w="3578" w:type="dxa"/>
            <w:shd w:val="clear" w:color="auto" w:fill="auto"/>
            <w:noWrap/>
          </w:tcPr>
          <w:p w14:paraId="0F3E503E" w14:textId="77777777" w:rsidR="00407F0A" w:rsidRPr="009D3162" w:rsidRDefault="00407F0A" w:rsidP="000B6FB4">
            <w:pPr>
              <w:pStyle w:val="Tabletext"/>
              <w:ind w:left="227"/>
            </w:pPr>
            <w:r w:rsidRPr="009D3162">
              <w:t>Get an apprenticeship</w:t>
            </w:r>
          </w:p>
        </w:tc>
        <w:tc>
          <w:tcPr>
            <w:tcW w:w="2268" w:type="dxa"/>
            <w:shd w:val="clear" w:color="auto" w:fill="auto"/>
          </w:tcPr>
          <w:p w14:paraId="649904C8" w14:textId="77777777" w:rsidR="00407F0A" w:rsidRPr="009D3162" w:rsidRDefault="00407F0A" w:rsidP="000B6FB4">
            <w:pPr>
              <w:pStyle w:val="Tabletext"/>
              <w:tabs>
                <w:tab w:val="decimal" w:pos="1134"/>
              </w:tabs>
            </w:pPr>
            <w:r w:rsidRPr="009D3162">
              <w:t>13.5</w:t>
            </w:r>
          </w:p>
        </w:tc>
        <w:tc>
          <w:tcPr>
            <w:tcW w:w="2268" w:type="dxa"/>
            <w:shd w:val="clear" w:color="auto" w:fill="auto"/>
          </w:tcPr>
          <w:p w14:paraId="5D595794" w14:textId="77777777" w:rsidR="00407F0A" w:rsidRPr="00FD16A9" w:rsidRDefault="00407F0A" w:rsidP="000B6FB4">
            <w:pPr>
              <w:pStyle w:val="Tabletext"/>
              <w:tabs>
                <w:tab w:val="decimal" w:pos="1134"/>
              </w:tabs>
            </w:pPr>
            <w:r>
              <w:t>12.8</w:t>
            </w:r>
          </w:p>
        </w:tc>
      </w:tr>
      <w:tr w:rsidR="00407F0A" w:rsidRPr="009D3162" w14:paraId="7D2D133E" w14:textId="77777777" w:rsidTr="00680561">
        <w:tc>
          <w:tcPr>
            <w:tcW w:w="3578" w:type="dxa"/>
            <w:shd w:val="clear" w:color="auto" w:fill="auto"/>
            <w:noWrap/>
          </w:tcPr>
          <w:p w14:paraId="546FF8A9" w14:textId="77777777" w:rsidR="00407F0A" w:rsidRPr="009D3162" w:rsidRDefault="00407F0A" w:rsidP="000B6FB4">
            <w:pPr>
              <w:pStyle w:val="Tabletext"/>
              <w:ind w:left="227"/>
            </w:pPr>
            <w:r w:rsidRPr="009D3162">
              <w:t>Get a traineeship</w:t>
            </w:r>
          </w:p>
        </w:tc>
        <w:tc>
          <w:tcPr>
            <w:tcW w:w="2268" w:type="dxa"/>
            <w:shd w:val="clear" w:color="auto" w:fill="auto"/>
          </w:tcPr>
          <w:p w14:paraId="66A3424F" w14:textId="77777777" w:rsidR="00407F0A" w:rsidRPr="009D3162" w:rsidRDefault="00407F0A" w:rsidP="000B6FB4">
            <w:pPr>
              <w:pStyle w:val="Tabletext"/>
              <w:tabs>
                <w:tab w:val="decimal" w:pos="1134"/>
              </w:tabs>
            </w:pPr>
            <w:r w:rsidRPr="009D3162">
              <w:t>12.7</w:t>
            </w:r>
          </w:p>
        </w:tc>
        <w:tc>
          <w:tcPr>
            <w:tcW w:w="2268" w:type="dxa"/>
            <w:shd w:val="clear" w:color="auto" w:fill="auto"/>
          </w:tcPr>
          <w:p w14:paraId="2033C584" w14:textId="77777777" w:rsidR="00407F0A" w:rsidRPr="00B52461" w:rsidRDefault="00407F0A" w:rsidP="000B6FB4">
            <w:pPr>
              <w:pStyle w:val="Tabletext"/>
              <w:tabs>
                <w:tab w:val="decimal" w:pos="1134"/>
              </w:tabs>
              <w:rPr>
                <w:bCs/>
              </w:rPr>
            </w:pPr>
            <w:r w:rsidRPr="00B52461">
              <w:rPr>
                <w:bCs/>
              </w:rPr>
              <w:t>10.7</w:t>
            </w:r>
          </w:p>
        </w:tc>
      </w:tr>
      <w:tr w:rsidR="00407F0A" w:rsidRPr="009D3162" w14:paraId="504EAEF9" w14:textId="77777777" w:rsidTr="00680561">
        <w:tc>
          <w:tcPr>
            <w:tcW w:w="3578" w:type="dxa"/>
            <w:shd w:val="clear" w:color="auto" w:fill="auto"/>
            <w:noWrap/>
          </w:tcPr>
          <w:p w14:paraId="45483DDD" w14:textId="77777777" w:rsidR="00407F0A" w:rsidRPr="009D3162" w:rsidRDefault="00407F0A" w:rsidP="000B6FB4">
            <w:pPr>
              <w:pStyle w:val="Tabletext"/>
              <w:ind w:left="227"/>
            </w:pPr>
            <w:r w:rsidRPr="009D3162">
              <w:t>Go to a TAFE college</w:t>
            </w:r>
          </w:p>
        </w:tc>
        <w:tc>
          <w:tcPr>
            <w:tcW w:w="2268" w:type="dxa"/>
            <w:shd w:val="clear" w:color="auto" w:fill="auto"/>
          </w:tcPr>
          <w:p w14:paraId="7F7A295D" w14:textId="77777777" w:rsidR="00407F0A" w:rsidRPr="009D3162" w:rsidRDefault="00407F0A" w:rsidP="000B6FB4">
            <w:pPr>
              <w:pStyle w:val="Tabletext"/>
              <w:tabs>
                <w:tab w:val="decimal" w:pos="1134"/>
              </w:tabs>
            </w:pPr>
            <w:r w:rsidRPr="009D3162">
              <w:t>11.6</w:t>
            </w:r>
          </w:p>
        </w:tc>
        <w:tc>
          <w:tcPr>
            <w:tcW w:w="2268" w:type="dxa"/>
            <w:shd w:val="clear" w:color="auto" w:fill="auto"/>
          </w:tcPr>
          <w:p w14:paraId="0C91CC13" w14:textId="77777777" w:rsidR="00407F0A" w:rsidRPr="00FD16A9" w:rsidRDefault="00407F0A" w:rsidP="000B6FB4">
            <w:pPr>
              <w:pStyle w:val="Tabletext"/>
              <w:tabs>
                <w:tab w:val="decimal" w:pos="1134"/>
              </w:tabs>
            </w:pPr>
            <w:r>
              <w:t>11.4</w:t>
            </w:r>
          </w:p>
        </w:tc>
      </w:tr>
      <w:tr w:rsidR="00407F0A" w:rsidRPr="009D3162" w14:paraId="7237B53B" w14:textId="77777777" w:rsidTr="00680561">
        <w:tc>
          <w:tcPr>
            <w:tcW w:w="3578" w:type="dxa"/>
            <w:shd w:val="clear" w:color="auto" w:fill="auto"/>
            <w:noWrap/>
          </w:tcPr>
          <w:p w14:paraId="759B5787" w14:textId="77777777" w:rsidR="00407F0A" w:rsidRPr="009D3162" w:rsidRDefault="00407F0A" w:rsidP="000B6FB4">
            <w:pPr>
              <w:pStyle w:val="Tabletext"/>
              <w:ind w:left="227"/>
            </w:pPr>
            <w:r w:rsidRPr="009D3162">
              <w:t>Do some other course or training elsewhere</w:t>
            </w:r>
          </w:p>
        </w:tc>
        <w:tc>
          <w:tcPr>
            <w:tcW w:w="2268" w:type="dxa"/>
            <w:shd w:val="clear" w:color="auto" w:fill="auto"/>
          </w:tcPr>
          <w:p w14:paraId="6379C469" w14:textId="77777777" w:rsidR="00407F0A" w:rsidRPr="009D3162" w:rsidRDefault="00407F0A" w:rsidP="000B6FB4">
            <w:pPr>
              <w:pStyle w:val="Tabletext"/>
              <w:tabs>
                <w:tab w:val="decimal" w:pos="1134"/>
              </w:tabs>
            </w:pPr>
            <w:r w:rsidRPr="009D3162">
              <w:t>12.9</w:t>
            </w:r>
          </w:p>
        </w:tc>
        <w:tc>
          <w:tcPr>
            <w:tcW w:w="2268" w:type="dxa"/>
            <w:shd w:val="clear" w:color="auto" w:fill="auto"/>
          </w:tcPr>
          <w:p w14:paraId="5170DF6A" w14:textId="77777777" w:rsidR="00407F0A" w:rsidRPr="00FD16A9" w:rsidRDefault="00407F0A" w:rsidP="000B6FB4">
            <w:pPr>
              <w:pStyle w:val="Tabletext"/>
              <w:tabs>
                <w:tab w:val="decimal" w:pos="1134"/>
              </w:tabs>
            </w:pPr>
            <w:r>
              <w:t>9.0</w:t>
            </w:r>
          </w:p>
        </w:tc>
      </w:tr>
      <w:tr w:rsidR="00407F0A" w:rsidRPr="009D3162" w14:paraId="2CE92C70" w14:textId="77777777" w:rsidTr="00680561">
        <w:tc>
          <w:tcPr>
            <w:tcW w:w="3578" w:type="dxa"/>
            <w:shd w:val="clear" w:color="auto" w:fill="auto"/>
            <w:noWrap/>
          </w:tcPr>
          <w:p w14:paraId="5E307C76" w14:textId="77777777" w:rsidR="00407F0A" w:rsidRPr="009D3162" w:rsidRDefault="00407F0A" w:rsidP="000B6FB4">
            <w:pPr>
              <w:pStyle w:val="Tabletext"/>
              <w:ind w:left="227"/>
            </w:pPr>
            <w:r w:rsidRPr="009D3162">
              <w:t>Look for work/get a job</w:t>
            </w:r>
          </w:p>
        </w:tc>
        <w:tc>
          <w:tcPr>
            <w:tcW w:w="2268" w:type="dxa"/>
            <w:shd w:val="clear" w:color="auto" w:fill="auto"/>
          </w:tcPr>
          <w:p w14:paraId="0523A798" w14:textId="77777777" w:rsidR="00407F0A" w:rsidRPr="009D3162" w:rsidRDefault="00407F0A" w:rsidP="000B6FB4">
            <w:pPr>
              <w:pStyle w:val="Tabletext"/>
              <w:tabs>
                <w:tab w:val="decimal" w:pos="1134"/>
              </w:tabs>
            </w:pPr>
            <w:r w:rsidRPr="009D3162">
              <w:t>12.4</w:t>
            </w:r>
          </w:p>
        </w:tc>
        <w:tc>
          <w:tcPr>
            <w:tcW w:w="2268" w:type="dxa"/>
            <w:shd w:val="clear" w:color="auto" w:fill="auto"/>
          </w:tcPr>
          <w:p w14:paraId="43E114D6" w14:textId="77777777" w:rsidR="00407F0A" w:rsidRPr="00FD16A9" w:rsidRDefault="00407F0A" w:rsidP="000B6FB4">
            <w:pPr>
              <w:pStyle w:val="Tabletext"/>
              <w:tabs>
                <w:tab w:val="decimal" w:pos="1134"/>
              </w:tabs>
            </w:pPr>
            <w:r>
              <w:t>11.5</w:t>
            </w:r>
          </w:p>
        </w:tc>
      </w:tr>
      <w:tr w:rsidR="00407F0A" w:rsidRPr="009D3162" w14:paraId="3B95C4D8" w14:textId="77777777" w:rsidTr="00680561">
        <w:tc>
          <w:tcPr>
            <w:tcW w:w="3578" w:type="dxa"/>
            <w:shd w:val="clear" w:color="auto" w:fill="auto"/>
            <w:noWrap/>
          </w:tcPr>
          <w:p w14:paraId="085A7E3C" w14:textId="77777777" w:rsidR="00407F0A" w:rsidRPr="009D3162" w:rsidRDefault="00407F0A" w:rsidP="000B6FB4">
            <w:pPr>
              <w:pStyle w:val="Tabletext"/>
              <w:ind w:left="227"/>
            </w:pPr>
            <w:r w:rsidRPr="009D3162">
              <w:t>Other</w:t>
            </w:r>
          </w:p>
        </w:tc>
        <w:tc>
          <w:tcPr>
            <w:tcW w:w="2268" w:type="dxa"/>
            <w:shd w:val="clear" w:color="auto" w:fill="auto"/>
          </w:tcPr>
          <w:p w14:paraId="12A98A75" w14:textId="77777777" w:rsidR="00407F0A" w:rsidRPr="009D3162" w:rsidRDefault="00407F0A" w:rsidP="000B6FB4">
            <w:pPr>
              <w:pStyle w:val="Tabletext"/>
              <w:tabs>
                <w:tab w:val="decimal" w:pos="1134"/>
              </w:tabs>
            </w:pPr>
            <w:r w:rsidRPr="009D3162">
              <w:t>15.9</w:t>
            </w:r>
          </w:p>
        </w:tc>
        <w:tc>
          <w:tcPr>
            <w:tcW w:w="2268" w:type="dxa"/>
            <w:shd w:val="clear" w:color="auto" w:fill="auto"/>
          </w:tcPr>
          <w:p w14:paraId="0D3168FF" w14:textId="77777777" w:rsidR="00407F0A" w:rsidRPr="00FD16A9" w:rsidRDefault="00407F0A" w:rsidP="000B6FB4">
            <w:pPr>
              <w:pStyle w:val="Tabletext"/>
              <w:tabs>
                <w:tab w:val="decimal" w:pos="1134"/>
              </w:tabs>
            </w:pPr>
            <w:r>
              <w:t>12.3</w:t>
            </w:r>
          </w:p>
        </w:tc>
      </w:tr>
      <w:tr w:rsidR="00407F0A" w:rsidRPr="009D3162" w14:paraId="0369957F" w14:textId="77777777" w:rsidTr="00680561">
        <w:tc>
          <w:tcPr>
            <w:tcW w:w="3578" w:type="dxa"/>
            <w:shd w:val="clear" w:color="auto" w:fill="auto"/>
            <w:noWrap/>
          </w:tcPr>
          <w:p w14:paraId="7BAD73DF" w14:textId="77777777" w:rsidR="00407F0A" w:rsidRPr="009D3162" w:rsidRDefault="00407F0A" w:rsidP="000B6FB4">
            <w:pPr>
              <w:pStyle w:val="Tabletext"/>
              <w:ind w:left="227"/>
            </w:pPr>
            <w:r>
              <w:t>Don't k</w:t>
            </w:r>
            <w:r w:rsidRPr="009D3162">
              <w:t>now</w:t>
            </w:r>
          </w:p>
        </w:tc>
        <w:tc>
          <w:tcPr>
            <w:tcW w:w="2268" w:type="dxa"/>
            <w:shd w:val="clear" w:color="auto" w:fill="auto"/>
          </w:tcPr>
          <w:p w14:paraId="4843374F" w14:textId="77777777" w:rsidR="00407F0A" w:rsidRPr="009D3162" w:rsidRDefault="00407F0A" w:rsidP="000B6FB4">
            <w:pPr>
              <w:pStyle w:val="Tabletext"/>
              <w:tabs>
                <w:tab w:val="decimal" w:pos="1134"/>
              </w:tabs>
            </w:pPr>
            <w:r w:rsidRPr="009D3162">
              <w:t>10.2</w:t>
            </w:r>
          </w:p>
        </w:tc>
        <w:tc>
          <w:tcPr>
            <w:tcW w:w="2268" w:type="dxa"/>
            <w:shd w:val="clear" w:color="auto" w:fill="auto"/>
          </w:tcPr>
          <w:p w14:paraId="55ADB0EF" w14:textId="77777777" w:rsidR="00407F0A" w:rsidRPr="00FD16A9" w:rsidRDefault="00407F0A" w:rsidP="000B6FB4">
            <w:pPr>
              <w:pStyle w:val="Tabletext"/>
              <w:tabs>
                <w:tab w:val="decimal" w:pos="1134"/>
              </w:tabs>
              <w:rPr>
                <w:bCs/>
              </w:rPr>
            </w:pPr>
            <w:r>
              <w:rPr>
                <w:bCs/>
              </w:rPr>
              <w:t>11.9</w:t>
            </w:r>
          </w:p>
        </w:tc>
      </w:tr>
      <w:tr w:rsidR="00407F0A" w:rsidRPr="00296C7B" w14:paraId="37ABED1A" w14:textId="77777777" w:rsidTr="00680561">
        <w:tc>
          <w:tcPr>
            <w:tcW w:w="3578" w:type="dxa"/>
            <w:shd w:val="clear" w:color="auto" w:fill="auto"/>
            <w:noWrap/>
          </w:tcPr>
          <w:p w14:paraId="0498E65B" w14:textId="77777777" w:rsidR="00407F0A" w:rsidRPr="009F477C" w:rsidRDefault="00407F0A" w:rsidP="000B6FB4">
            <w:pPr>
              <w:pStyle w:val="Tabletext"/>
              <w:rPr>
                <w:b/>
              </w:rPr>
            </w:pPr>
            <w:r>
              <w:rPr>
                <w:b/>
              </w:rPr>
              <w:t>Receive Youth Allowance or</w:t>
            </w:r>
            <w:r w:rsidRPr="009F477C">
              <w:rPr>
                <w:b/>
              </w:rPr>
              <w:t xml:space="preserve"> ABSTUDY</w:t>
            </w:r>
          </w:p>
        </w:tc>
        <w:tc>
          <w:tcPr>
            <w:tcW w:w="2268" w:type="dxa"/>
            <w:shd w:val="clear" w:color="auto" w:fill="auto"/>
            <w:noWrap/>
          </w:tcPr>
          <w:p w14:paraId="78C9F3E4" w14:textId="77777777" w:rsidR="00407F0A" w:rsidRPr="00296C7B" w:rsidRDefault="00407F0A" w:rsidP="000B6FB4">
            <w:pPr>
              <w:pStyle w:val="Tabletext"/>
              <w:tabs>
                <w:tab w:val="decimal" w:pos="1134"/>
              </w:tabs>
            </w:pPr>
          </w:p>
        </w:tc>
        <w:tc>
          <w:tcPr>
            <w:tcW w:w="2268" w:type="dxa"/>
            <w:shd w:val="clear" w:color="auto" w:fill="auto"/>
          </w:tcPr>
          <w:p w14:paraId="769E72ED" w14:textId="77777777" w:rsidR="00407F0A" w:rsidRPr="00296C7B" w:rsidRDefault="00407F0A" w:rsidP="000B6FB4">
            <w:pPr>
              <w:pStyle w:val="Tabletext"/>
              <w:tabs>
                <w:tab w:val="decimal" w:pos="1134"/>
              </w:tabs>
              <w:rPr>
                <w:bCs/>
              </w:rPr>
            </w:pPr>
          </w:p>
        </w:tc>
      </w:tr>
      <w:tr w:rsidR="00407F0A" w:rsidRPr="009D3162" w14:paraId="01F1B0DD" w14:textId="77777777" w:rsidTr="00680561">
        <w:tc>
          <w:tcPr>
            <w:tcW w:w="3578" w:type="dxa"/>
            <w:shd w:val="clear" w:color="auto" w:fill="auto"/>
            <w:noWrap/>
          </w:tcPr>
          <w:p w14:paraId="59B3D3CA" w14:textId="77777777" w:rsidR="00407F0A" w:rsidRPr="009D3162" w:rsidRDefault="00407F0A" w:rsidP="000B6FB4">
            <w:pPr>
              <w:pStyle w:val="Tabletext"/>
              <w:ind w:left="227"/>
            </w:pPr>
            <w:r w:rsidRPr="009D3162">
              <w:t>No</w:t>
            </w:r>
          </w:p>
        </w:tc>
        <w:tc>
          <w:tcPr>
            <w:tcW w:w="2268" w:type="dxa"/>
            <w:shd w:val="clear" w:color="auto" w:fill="auto"/>
          </w:tcPr>
          <w:p w14:paraId="62D0C1F3" w14:textId="77777777" w:rsidR="00407F0A" w:rsidRPr="009D3162" w:rsidRDefault="00407F0A" w:rsidP="000B6FB4">
            <w:pPr>
              <w:pStyle w:val="Tabletext"/>
              <w:tabs>
                <w:tab w:val="decimal" w:pos="1134"/>
              </w:tabs>
            </w:pPr>
            <w:r w:rsidRPr="009D3162">
              <w:t>12.1</w:t>
            </w:r>
          </w:p>
        </w:tc>
        <w:tc>
          <w:tcPr>
            <w:tcW w:w="2268" w:type="dxa"/>
            <w:shd w:val="clear" w:color="auto" w:fill="auto"/>
          </w:tcPr>
          <w:p w14:paraId="7DAD71BF" w14:textId="77777777" w:rsidR="00407F0A" w:rsidRPr="00FD16A9" w:rsidRDefault="00407F0A" w:rsidP="000B6FB4">
            <w:pPr>
              <w:pStyle w:val="Tabletext"/>
              <w:tabs>
                <w:tab w:val="decimal" w:pos="1134"/>
              </w:tabs>
            </w:pPr>
            <w:r>
              <w:t>10.6</w:t>
            </w:r>
          </w:p>
        </w:tc>
      </w:tr>
      <w:tr w:rsidR="00407F0A" w:rsidRPr="009D3162" w14:paraId="76B5634D" w14:textId="77777777" w:rsidTr="00680561">
        <w:tc>
          <w:tcPr>
            <w:tcW w:w="3578" w:type="dxa"/>
            <w:shd w:val="clear" w:color="auto" w:fill="auto"/>
            <w:noWrap/>
          </w:tcPr>
          <w:p w14:paraId="301AC728" w14:textId="77777777" w:rsidR="00407F0A" w:rsidRPr="009D3162" w:rsidRDefault="00407F0A" w:rsidP="000B6FB4">
            <w:pPr>
              <w:pStyle w:val="Tabletext"/>
              <w:ind w:left="227"/>
            </w:pPr>
            <w:r w:rsidRPr="009D3162">
              <w:t>Yes</w:t>
            </w:r>
          </w:p>
        </w:tc>
        <w:tc>
          <w:tcPr>
            <w:tcW w:w="2268" w:type="dxa"/>
            <w:shd w:val="clear" w:color="auto" w:fill="auto"/>
          </w:tcPr>
          <w:p w14:paraId="0E571E35" w14:textId="77777777" w:rsidR="00407F0A" w:rsidRPr="009D3162" w:rsidRDefault="00407F0A" w:rsidP="000B6FB4">
            <w:pPr>
              <w:pStyle w:val="Tabletext"/>
              <w:tabs>
                <w:tab w:val="decimal" w:pos="1134"/>
              </w:tabs>
            </w:pPr>
            <w:r w:rsidRPr="009D3162">
              <w:t>12.2</w:t>
            </w:r>
          </w:p>
        </w:tc>
        <w:tc>
          <w:tcPr>
            <w:tcW w:w="2268" w:type="dxa"/>
            <w:shd w:val="clear" w:color="auto" w:fill="auto"/>
          </w:tcPr>
          <w:p w14:paraId="3F2E851C" w14:textId="77777777" w:rsidR="00407F0A" w:rsidRPr="00FD16A9" w:rsidRDefault="00407F0A" w:rsidP="000B6FB4">
            <w:pPr>
              <w:pStyle w:val="Tabletext"/>
              <w:tabs>
                <w:tab w:val="decimal" w:pos="1134"/>
              </w:tabs>
            </w:pPr>
            <w:r>
              <w:t>11.6</w:t>
            </w:r>
          </w:p>
        </w:tc>
      </w:tr>
      <w:tr w:rsidR="00407F0A" w:rsidRPr="009D3162" w14:paraId="7604F1EC" w14:textId="77777777" w:rsidTr="00680561">
        <w:tc>
          <w:tcPr>
            <w:tcW w:w="3578" w:type="dxa"/>
            <w:shd w:val="clear" w:color="auto" w:fill="auto"/>
            <w:noWrap/>
          </w:tcPr>
          <w:p w14:paraId="27AF82E6" w14:textId="77777777" w:rsidR="00407F0A" w:rsidRPr="009D3162" w:rsidRDefault="00407F0A" w:rsidP="000B6FB4">
            <w:pPr>
              <w:pStyle w:val="Tabletext"/>
              <w:ind w:left="227"/>
            </w:pPr>
            <w:r w:rsidRPr="009D3162">
              <w:t>Don't know</w:t>
            </w:r>
          </w:p>
        </w:tc>
        <w:tc>
          <w:tcPr>
            <w:tcW w:w="2268" w:type="dxa"/>
            <w:shd w:val="clear" w:color="auto" w:fill="auto"/>
          </w:tcPr>
          <w:p w14:paraId="133D8A33" w14:textId="77777777" w:rsidR="00407F0A" w:rsidRPr="009D3162" w:rsidRDefault="00407F0A" w:rsidP="000B6FB4">
            <w:pPr>
              <w:pStyle w:val="Tabletext"/>
              <w:tabs>
                <w:tab w:val="decimal" w:pos="1134"/>
              </w:tabs>
            </w:pPr>
            <w:r w:rsidRPr="009D3162">
              <w:t>12.4</w:t>
            </w:r>
          </w:p>
        </w:tc>
        <w:tc>
          <w:tcPr>
            <w:tcW w:w="2268" w:type="dxa"/>
            <w:shd w:val="clear" w:color="auto" w:fill="auto"/>
          </w:tcPr>
          <w:p w14:paraId="3AEB756F" w14:textId="77777777" w:rsidR="00407F0A" w:rsidRPr="00FD16A9" w:rsidRDefault="00407F0A" w:rsidP="000B6FB4">
            <w:pPr>
              <w:pStyle w:val="Tabletext"/>
              <w:tabs>
                <w:tab w:val="decimal" w:pos="1134"/>
              </w:tabs>
            </w:pPr>
            <w:r>
              <w:t>9.9</w:t>
            </w:r>
          </w:p>
        </w:tc>
      </w:tr>
    </w:tbl>
    <w:p w14:paraId="36C1D954" w14:textId="67D1021A" w:rsidR="00407F0A" w:rsidRDefault="00407F0A" w:rsidP="00D522F6">
      <w:pPr>
        <w:pStyle w:val="Text"/>
      </w:pPr>
      <w:r>
        <w:t>Students with post-school plans that relate more to employment (job, apprenticeship, traineeship)</w:t>
      </w:r>
      <w:r w:rsidR="000369C7">
        <w:t>,</w:t>
      </w:r>
      <w:r>
        <w:t xml:space="preserve"> </w:t>
      </w:r>
      <w:r w:rsidR="000369C7">
        <w:t xml:space="preserve">on average, </w:t>
      </w:r>
      <w:r>
        <w:t>work longer hours than Year 12 students with more academic post-school plans (university, TAFE or other training). Those intent on university work the least number of hours in Year 12. Students with university intentions may be moderating their work to gain better Year 12 results, whereas students who have post-school employment plans may have already beg</w:t>
      </w:r>
      <w:r w:rsidR="003623B5">
        <w:t>u</w:t>
      </w:r>
      <w:r>
        <w:t>n to be less interested in school and be intentionally forming a stronger attachment to the labour market.</w:t>
      </w:r>
    </w:p>
    <w:p w14:paraId="45BB4940" w14:textId="77777777" w:rsidR="00407F0A" w:rsidRDefault="00407F0A" w:rsidP="00407F0A">
      <w:pPr>
        <w:pStyle w:val="Heading2"/>
      </w:pPr>
      <w:bookmarkStart w:id="268" w:name="_Toc15048968"/>
      <w:bookmarkStart w:id="269" w:name="_Toc19803981"/>
      <w:r>
        <w:t>School outcomes</w:t>
      </w:r>
      <w:bookmarkEnd w:id="268"/>
      <w:bookmarkEnd w:id="269"/>
    </w:p>
    <w:p w14:paraId="3CF5FF02" w14:textId="77777777" w:rsidR="00407F0A" w:rsidRDefault="00407F0A" w:rsidP="00407F0A">
      <w:pPr>
        <w:pStyle w:val="Heading3"/>
      </w:pPr>
      <w:r>
        <w:t>Impact on school retention</w:t>
      </w:r>
    </w:p>
    <w:p w14:paraId="4444B2A3" w14:textId="11D4940E" w:rsidR="00407F0A" w:rsidRDefault="00407F0A" w:rsidP="00D522F6">
      <w:pPr>
        <w:pStyle w:val="Text"/>
      </w:pPr>
      <w:r>
        <w:t>The Y03 LSAY cohort has a male Year 11 to Year 12 retention rate of 85% and a slightly higher female retention rate of 88%</w:t>
      </w:r>
      <w:r w:rsidR="00471727">
        <w:t>.</w:t>
      </w:r>
      <w:r w:rsidRPr="00831E94">
        <w:rPr>
          <w:rStyle w:val="FootnoteReference"/>
          <w:rFonts w:ascii="Trebuchet MS" w:hAnsi="Trebuchet MS"/>
          <w:vertAlign w:val="superscript"/>
        </w:rPr>
        <w:footnoteReference w:id="13"/>
      </w:r>
      <w:r>
        <w:t xml:space="preserve"> By modelling retention from Year 10 to 11, and Year 11 to 12, rather than as a single measure from Year 10 to 12, we were able to assess the impact of combining school and work at two separate decision points in the school-to-work transition.</w:t>
      </w:r>
    </w:p>
    <w:p w14:paraId="1A85F8ED" w14:textId="133C71DF" w:rsidR="00407F0A" w:rsidRDefault="00407F0A" w:rsidP="00D522F6">
      <w:pPr>
        <w:pStyle w:val="Text"/>
      </w:pPr>
      <w:r>
        <w:lastRenderedPageBreak/>
        <w:t xml:space="preserve">The results (predicted probability of continuing to Year 11 from </w:t>
      </w:r>
      <w:r w:rsidR="00A32519">
        <w:t>Y</w:t>
      </w:r>
      <w:r>
        <w:t xml:space="preserve">ear 10) of the logistic regressions of hours worked in Year 10 on Year 11 retention are presented in </w:t>
      </w:r>
      <w:r w:rsidR="00A32519">
        <w:t>t</w:t>
      </w:r>
      <w:r>
        <w:t xml:space="preserve">able </w:t>
      </w:r>
      <w:r w:rsidR="00507E42">
        <w:t>2</w:t>
      </w:r>
      <w:r>
        <w:t>4. The predicted probabilities for retention are calculated for each categorical classification of hours worked by applying the regression model values separately for males and females</w:t>
      </w:r>
      <w:r w:rsidR="00A65099">
        <w:t>.</w:t>
      </w:r>
      <w:r w:rsidRPr="00831E94">
        <w:rPr>
          <w:rStyle w:val="FootnoteReference"/>
          <w:rFonts w:ascii="Trebuchet MS" w:hAnsi="Trebuchet MS"/>
          <w:vertAlign w:val="superscript"/>
        </w:rPr>
        <w:footnoteReference w:id="14"/>
      </w:r>
    </w:p>
    <w:p w14:paraId="20AB4A2E" w14:textId="1AEBAE82" w:rsidR="00407F0A" w:rsidRPr="00D560D0" w:rsidRDefault="00407F0A" w:rsidP="00407F0A">
      <w:pPr>
        <w:pStyle w:val="tabletitle0"/>
      </w:pPr>
      <w:bookmarkStart w:id="270" w:name="_Ref223838615"/>
      <w:bookmarkStart w:id="271" w:name="_Toc297729170"/>
      <w:bookmarkStart w:id="272" w:name="_Toc19001681"/>
      <w:r w:rsidRPr="00D560D0">
        <w:t xml:space="preserve">Table </w:t>
      </w:r>
      <w:bookmarkEnd w:id="270"/>
      <w:r w:rsidR="00AB293C">
        <w:t>24</w:t>
      </w:r>
      <w:r w:rsidRPr="00D560D0">
        <w:tab/>
        <w:t>Predicted probability of Year 10 to Year 11 retention by hours worked in Year 10</w:t>
      </w:r>
      <w:bookmarkEnd w:id="271"/>
      <w:bookmarkEnd w:id="272"/>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9"/>
        <w:gridCol w:w="1486"/>
        <w:gridCol w:w="1487"/>
        <w:gridCol w:w="1486"/>
        <w:gridCol w:w="1487"/>
      </w:tblGrid>
      <w:tr w:rsidR="00407F0A" w:rsidRPr="00D560D0" w14:paraId="6ABE327A" w14:textId="77777777" w:rsidTr="00680561">
        <w:tc>
          <w:tcPr>
            <w:tcW w:w="2559" w:type="dxa"/>
            <w:tcBorders>
              <w:top w:val="single" w:sz="4" w:space="0" w:color="auto"/>
              <w:left w:val="nil"/>
              <w:bottom w:val="single" w:sz="4" w:space="0" w:color="auto"/>
              <w:right w:val="nil"/>
            </w:tcBorders>
            <w:shd w:val="clear" w:color="auto" w:fill="auto"/>
          </w:tcPr>
          <w:p w14:paraId="66499562" w14:textId="77777777" w:rsidR="00407F0A" w:rsidRPr="00D560D0" w:rsidRDefault="00407F0A" w:rsidP="000B6FB4">
            <w:pPr>
              <w:pStyle w:val="Tablehead1"/>
            </w:pPr>
            <w:r w:rsidRPr="00D560D0">
              <w:t>Working hours</w:t>
            </w:r>
          </w:p>
        </w:tc>
        <w:tc>
          <w:tcPr>
            <w:tcW w:w="1486" w:type="dxa"/>
            <w:tcBorders>
              <w:top w:val="single" w:sz="4" w:space="0" w:color="auto"/>
              <w:left w:val="nil"/>
              <w:bottom w:val="single" w:sz="4" w:space="0" w:color="auto"/>
              <w:right w:val="nil"/>
            </w:tcBorders>
            <w:shd w:val="clear" w:color="auto" w:fill="auto"/>
          </w:tcPr>
          <w:p w14:paraId="2FF4C62A" w14:textId="77777777" w:rsidR="00407F0A" w:rsidRPr="00D560D0" w:rsidRDefault="00407F0A" w:rsidP="000B6FB4">
            <w:pPr>
              <w:pStyle w:val="Tablehead1"/>
              <w:jc w:val="center"/>
            </w:pPr>
            <w:r w:rsidRPr="00D560D0">
              <w:t>Males</w:t>
            </w:r>
          </w:p>
        </w:tc>
        <w:tc>
          <w:tcPr>
            <w:tcW w:w="1487" w:type="dxa"/>
            <w:tcBorders>
              <w:top w:val="single" w:sz="4" w:space="0" w:color="auto"/>
              <w:left w:val="nil"/>
              <w:bottom w:val="single" w:sz="4" w:space="0" w:color="auto"/>
              <w:right w:val="nil"/>
            </w:tcBorders>
            <w:shd w:val="clear" w:color="auto" w:fill="auto"/>
          </w:tcPr>
          <w:p w14:paraId="5C6312DF" w14:textId="77777777" w:rsidR="00407F0A" w:rsidRPr="00D560D0" w:rsidRDefault="00407F0A" w:rsidP="000B6FB4">
            <w:pPr>
              <w:pStyle w:val="Tablehead1"/>
              <w:jc w:val="center"/>
            </w:pPr>
            <w:r w:rsidRPr="00D560D0">
              <w:t>Diff. from 0</w:t>
            </w:r>
          </w:p>
        </w:tc>
        <w:tc>
          <w:tcPr>
            <w:tcW w:w="1486" w:type="dxa"/>
            <w:tcBorders>
              <w:top w:val="single" w:sz="4" w:space="0" w:color="auto"/>
              <w:left w:val="nil"/>
              <w:bottom w:val="single" w:sz="4" w:space="0" w:color="auto"/>
              <w:right w:val="nil"/>
            </w:tcBorders>
            <w:shd w:val="clear" w:color="auto" w:fill="auto"/>
          </w:tcPr>
          <w:p w14:paraId="5FD7D824" w14:textId="77777777" w:rsidR="00407F0A" w:rsidRPr="00D560D0" w:rsidRDefault="00407F0A" w:rsidP="000B6FB4">
            <w:pPr>
              <w:pStyle w:val="Tablehead1"/>
              <w:jc w:val="center"/>
            </w:pPr>
            <w:r w:rsidRPr="00D560D0">
              <w:t>Females</w:t>
            </w:r>
          </w:p>
        </w:tc>
        <w:tc>
          <w:tcPr>
            <w:tcW w:w="1487" w:type="dxa"/>
            <w:tcBorders>
              <w:top w:val="single" w:sz="4" w:space="0" w:color="auto"/>
              <w:left w:val="nil"/>
              <w:bottom w:val="single" w:sz="4" w:space="0" w:color="auto"/>
              <w:right w:val="nil"/>
            </w:tcBorders>
            <w:shd w:val="clear" w:color="auto" w:fill="auto"/>
          </w:tcPr>
          <w:p w14:paraId="768BC2D4" w14:textId="77777777" w:rsidR="00407F0A" w:rsidRPr="00D560D0" w:rsidRDefault="00407F0A" w:rsidP="000B6FB4">
            <w:pPr>
              <w:pStyle w:val="Tablehead1"/>
              <w:jc w:val="center"/>
            </w:pPr>
            <w:r w:rsidRPr="00D560D0">
              <w:t>Diff. from 0</w:t>
            </w:r>
          </w:p>
        </w:tc>
      </w:tr>
      <w:tr w:rsidR="00407F0A" w:rsidRPr="00D560D0" w14:paraId="307B5D5D" w14:textId="77777777" w:rsidTr="00680561">
        <w:tc>
          <w:tcPr>
            <w:tcW w:w="2559" w:type="dxa"/>
            <w:tcBorders>
              <w:top w:val="single" w:sz="4" w:space="0" w:color="auto"/>
              <w:left w:val="nil"/>
              <w:bottom w:val="nil"/>
              <w:right w:val="nil"/>
            </w:tcBorders>
            <w:shd w:val="clear" w:color="auto" w:fill="auto"/>
          </w:tcPr>
          <w:p w14:paraId="1DA36F14" w14:textId="77777777" w:rsidR="00407F0A" w:rsidRPr="00D560D0" w:rsidRDefault="00407F0A" w:rsidP="000B6FB4">
            <w:pPr>
              <w:pStyle w:val="Tabletext"/>
              <w:rPr>
                <w:b/>
              </w:rPr>
            </w:pPr>
            <w:r w:rsidRPr="00D560D0">
              <w:rPr>
                <w:b/>
              </w:rPr>
              <w:t>Year 10</w:t>
            </w:r>
          </w:p>
        </w:tc>
        <w:tc>
          <w:tcPr>
            <w:tcW w:w="1486" w:type="dxa"/>
            <w:tcBorders>
              <w:top w:val="single" w:sz="4" w:space="0" w:color="auto"/>
              <w:left w:val="nil"/>
              <w:bottom w:val="nil"/>
              <w:right w:val="nil"/>
            </w:tcBorders>
            <w:shd w:val="clear" w:color="auto" w:fill="auto"/>
          </w:tcPr>
          <w:p w14:paraId="21E9164D" w14:textId="77777777" w:rsidR="00407F0A" w:rsidRPr="00D560D0" w:rsidRDefault="00407F0A" w:rsidP="000B6FB4">
            <w:pPr>
              <w:pStyle w:val="Tabletext"/>
            </w:pPr>
          </w:p>
        </w:tc>
        <w:tc>
          <w:tcPr>
            <w:tcW w:w="1487" w:type="dxa"/>
            <w:tcBorders>
              <w:top w:val="single" w:sz="4" w:space="0" w:color="auto"/>
              <w:left w:val="nil"/>
              <w:bottom w:val="nil"/>
              <w:right w:val="nil"/>
            </w:tcBorders>
            <w:shd w:val="clear" w:color="auto" w:fill="auto"/>
          </w:tcPr>
          <w:p w14:paraId="06095F1E" w14:textId="77777777" w:rsidR="00407F0A" w:rsidRPr="00D560D0" w:rsidRDefault="00407F0A" w:rsidP="000B6FB4">
            <w:pPr>
              <w:pStyle w:val="Tabletext"/>
            </w:pPr>
          </w:p>
        </w:tc>
        <w:tc>
          <w:tcPr>
            <w:tcW w:w="1486" w:type="dxa"/>
            <w:tcBorders>
              <w:top w:val="single" w:sz="4" w:space="0" w:color="auto"/>
              <w:left w:val="nil"/>
              <w:bottom w:val="nil"/>
              <w:right w:val="nil"/>
            </w:tcBorders>
            <w:shd w:val="clear" w:color="auto" w:fill="auto"/>
          </w:tcPr>
          <w:p w14:paraId="3092BEE4" w14:textId="77777777" w:rsidR="00407F0A" w:rsidRPr="00D560D0" w:rsidRDefault="00407F0A" w:rsidP="000B6FB4">
            <w:pPr>
              <w:pStyle w:val="Tabletext"/>
            </w:pPr>
          </w:p>
        </w:tc>
        <w:tc>
          <w:tcPr>
            <w:tcW w:w="1487" w:type="dxa"/>
            <w:tcBorders>
              <w:top w:val="single" w:sz="4" w:space="0" w:color="auto"/>
              <w:left w:val="nil"/>
              <w:bottom w:val="nil"/>
              <w:right w:val="nil"/>
            </w:tcBorders>
            <w:shd w:val="clear" w:color="auto" w:fill="auto"/>
          </w:tcPr>
          <w:p w14:paraId="08B20520" w14:textId="77777777" w:rsidR="00407F0A" w:rsidRPr="00D560D0" w:rsidRDefault="00407F0A" w:rsidP="000B6FB4">
            <w:pPr>
              <w:pStyle w:val="Tabletext"/>
            </w:pPr>
          </w:p>
        </w:tc>
      </w:tr>
      <w:tr w:rsidR="00407F0A" w:rsidRPr="00D560D0" w14:paraId="76144003" w14:textId="77777777" w:rsidTr="00680561">
        <w:tc>
          <w:tcPr>
            <w:tcW w:w="2559" w:type="dxa"/>
            <w:tcBorders>
              <w:top w:val="nil"/>
              <w:left w:val="nil"/>
              <w:bottom w:val="nil"/>
              <w:right w:val="nil"/>
            </w:tcBorders>
            <w:shd w:val="clear" w:color="auto" w:fill="auto"/>
          </w:tcPr>
          <w:p w14:paraId="07B9903B" w14:textId="77777777" w:rsidR="00407F0A" w:rsidRPr="00D560D0" w:rsidRDefault="00407F0A" w:rsidP="000B6FB4">
            <w:pPr>
              <w:pStyle w:val="Tabletext"/>
            </w:pPr>
            <w:r w:rsidRPr="00D560D0">
              <w:t>Not working</w:t>
            </w:r>
          </w:p>
        </w:tc>
        <w:tc>
          <w:tcPr>
            <w:tcW w:w="1486" w:type="dxa"/>
            <w:tcBorders>
              <w:top w:val="nil"/>
              <w:left w:val="nil"/>
              <w:bottom w:val="nil"/>
              <w:right w:val="nil"/>
            </w:tcBorders>
            <w:shd w:val="clear" w:color="auto" w:fill="auto"/>
          </w:tcPr>
          <w:p w14:paraId="74DED9EF" w14:textId="77777777" w:rsidR="00407F0A" w:rsidRPr="00D560D0" w:rsidRDefault="00407F0A" w:rsidP="000B6FB4">
            <w:pPr>
              <w:pStyle w:val="Tabletext"/>
              <w:tabs>
                <w:tab w:val="decimal" w:pos="539"/>
              </w:tabs>
            </w:pPr>
            <w:r w:rsidRPr="00D560D0">
              <w:t>0.83</w:t>
            </w:r>
          </w:p>
        </w:tc>
        <w:tc>
          <w:tcPr>
            <w:tcW w:w="1487" w:type="dxa"/>
            <w:tcBorders>
              <w:top w:val="nil"/>
              <w:left w:val="nil"/>
              <w:bottom w:val="nil"/>
              <w:right w:val="nil"/>
            </w:tcBorders>
            <w:shd w:val="clear" w:color="auto" w:fill="auto"/>
          </w:tcPr>
          <w:p w14:paraId="245B9000" w14:textId="77777777" w:rsidR="00407F0A" w:rsidRPr="00D560D0" w:rsidRDefault="00407F0A" w:rsidP="000B6FB4">
            <w:pPr>
              <w:pStyle w:val="Tabletext"/>
              <w:tabs>
                <w:tab w:val="decimal" w:pos="539"/>
              </w:tabs>
            </w:pPr>
            <w:r w:rsidRPr="00D560D0">
              <w:t>-</w:t>
            </w:r>
          </w:p>
        </w:tc>
        <w:tc>
          <w:tcPr>
            <w:tcW w:w="1486" w:type="dxa"/>
            <w:tcBorders>
              <w:top w:val="nil"/>
              <w:left w:val="nil"/>
              <w:bottom w:val="nil"/>
              <w:right w:val="nil"/>
            </w:tcBorders>
            <w:shd w:val="clear" w:color="auto" w:fill="auto"/>
          </w:tcPr>
          <w:p w14:paraId="67B0124F" w14:textId="77777777" w:rsidR="00407F0A" w:rsidRPr="00D560D0" w:rsidRDefault="00407F0A" w:rsidP="000B6FB4">
            <w:pPr>
              <w:pStyle w:val="Tabletext"/>
              <w:tabs>
                <w:tab w:val="decimal" w:pos="539"/>
              </w:tabs>
            </w:pPr>
            <w:r w:rsidRPr="00D560D0">
              <w:t>0.85</w:t>
            </w:r>
          </w:p>
        </w:tc>
        <w:tc>
          <w:tcPr>
            <w:tcW w:w="1487" w:type="dxa"/>
            <w:tcBorders>
              <w:top w:val="nil"/>
              <w:left w:val="nil"/>
              <w:bottom w:val="nil"/>
              <w:right w:val="nil"/>
            </w:tcBorders>
            <w:shd w:val="clear" w:color="auto" w:fill="auto"/>
          </w:tcPr>
          <w:p w14:paraId="68BB5762" w14:textId="77777777" w:rsidR="00407F0A" w:rsidRPr="00D560D0" w:rsidRDefault="00407F0A" w:rsidP="000B6FB4">
            <w:pPr>
              <w:pStyle w:val="Tabletext"/>
              <w:tabs>
                <w:tab w:val="decimal" w:pos="539"/>
              </w:tabs>
            </w:pPr>
            <w:r w:rsidRPr="00D560D0">
              <w:t>-</w:t>
            </w:r>
          </w:p>
        </w:tc>
      </w:tr>
      <w:tr w:rsidR="00407F0A" w:rsidRPr="00D560D0" w14:paraId="45A24B4B" w14:textId="77777777" w:rsidTr="00680561">
        <w:tc>
          <w:tcPr>
            <w:tcW w:w="2559" w:type="dxa"/>
            <w:tcBorders>
              <w:top w:val="nil"/>
              <w:left w:val="nil"/>
              <w:bottom w:val="nil"/>
              <w:right w:val="nil"/>
            </w:tcBorders>
            <w:shd w:val="clear" w:color="auto" w:fill="auto"/>
          </w:tcPr>
          <w:p w14:paraId="01E8A523" w14:textId="77777777" w:rsidR="00407F0A" w:rsidRPr="00D560D0" w:rsidRDefault="00407F0A" w:rsidP="000B6FB4">
            <w:pPr>
              <w:pStyle w:val="Tabletext"/>
            </w:pPr>
            <w:r w:rsidRPr="00D560D0">
              <w:t>0 &lt; x &lt; 5</w:t>
            </w:r>
          </w:p>
        </w:tc>
        <w:tc>
          <w:tcPr>
            <w:tcW w:w="1486" w:type="dxa"/>
            <w:tcBorders>
              <w:top w:val="nil"/>
              <w:left w:val="nil"/>
              <w:bottom w:val="nil"/>
              <w:right w:val="nil"/>
            </w:tcBorders>
            <w:shd w:val="clear" w:color="auto" w:fill="auto"/>
          </w:tcPr>
          <w:p w14:paraId="5513CE82" w14:textId="77777777" w:rsidR="00407F0A" w:rsidRPr="00D560D0" w:rsidRDefault="00407F0A" w:rsidP="000B6FB4">
            <w:pPr>
              <w:pStyle w:val="Tabletext"/>
              <w:tabs>
                <w:tab w:val="decimal" w:pos="539"/>
              </w:tabs>
            </w:pPr>
            <w:r w:rsidRPr="00D560D0">
              <w:t>0.84</w:t>
            </w:r>
          </w:p>
        </w:tc>
        <w:tc>
          <w:tcPr>
            <w:tcW w:w="1487" w:type="dxa"/>
            <w:tcBorders>
              <w:top w:val="nil"/>
              <w:left w:val="nil"/>
              <w:bottom w:val="nil"/>
              <w:right w:val="nil"/>
            </w:tcBorders>
            <w:shd w:val="clear" w:color="auto" w:fill="auto"/>
          </w:tcPr>
          <w:p w14:paraId="73E6442B" w14:textId="77777777" w:rsidR="00407F0A" w:rsidRPr="00D560D0" w:rsidRDefault="00407F0A" w:rsidP="000B6FB4">
            <w:pPr>
              <w:pStyle w:val="Tabletext"/>
              <w:tabs>
                <w:tab w:val="decimal" w:pos="539"/>
              </w:tabs>
            </w:pPr>
            <w:r w:rsidRPr="00D560D0">
              <w:t>+0.01</w:t>
            </w:r>
          </w:p>
        </w:tc>
        <w:tc>
          <w:tcPr>
            <w:tcW w:w="1486" w:type="dxa"/>
            <w:tcBorders>
              <w:top w:val="nil"/>
              <w:left w:val="nil"/>
              <w:bottom w:val="nil"/>
              <w:right w:val="nil"/>
            </w:tcBorders>
            <w:shd w:val="clear" w:color="auto" w:fill="auto"/>
          </w:tcPr>
          <w:p w14:paraId="63D20886" w14:textId="77777777" w:rsidR="00407F0A" w:rsidRPr="00D560D0" w:rsidRDefault="00407F0A" w:rsidP="000B6FB4">
            <w:pPr>
              <w:pStyle w:val="Tabletext"/>
              <w:tabs>
                <w:tab w:val="decimal" w:pos="539"/>
              </w:tabs>
            </w:pPr>
            <w:r w:rsidRPr="00D560D0">
              <w:t>0.88</w:t>
            </w:r>
          </w:p>
        </w:tc>
        <w:tc>
          <w:tcPr>
            <w:tcW w:w="1487" w:type="dxa"/>
            <w:tcBorders>
              <w:top w:val="nil"/>
              <w:left w:val="nil"/>
              <w:bottom w:val="nil"/>
              <w:right w:val="nil"/>
            </w:tcBorders>
            <w:shd w:val="clear" w:color="auto" w:fill="auto"/>
          </w:tcPr>
          <w:p w14:paraId="0B9DF3E5" w14:textId="77777777" w:rsidR="00407F0A" w:rsidRPr="00D560D0" w:rsidRDefault="00407F0A" w:rsidP="000B6FB4">
            <w:pPr>
              <w:pStyle w:val="Tabletext"/>
              <w:tabs>
                <w:tab w:val="decimal" w:pos="539"/>
              </w:tabs>
            </w:pPr>
            <w:r w:rsidRPr="00D560D0">
              <w:t>+0.03</w:t>
            </w:r>
          </w:p>
        </w:tc>
      </w:tr>
      <w:tr w:rsidR="00407F0A" w:rsidRPr="00D560D0" w14:paraId="70DD0536" w14:textId="77777777" w:rsidTr="00680561">
        <w:tc>
          <w:tcPr>
            <w:tcW w:w="2559" w:type="dxa"/>
            <w:tcBorders>
              <w:top w:val="nil"/>
              <w:left w:val="nil"/>
              <w:bottom w:val="nil"/>
              <w:right w:val="nil"/>
            </w:tcBorders>
            <w:shd w:val="clear" w:color="auto" w:fill="auto"/>
          </w:tcPr>
          <w:p w14:paraId="7E2F5170" w14:textId="77777777" w:rsidR="00407F0A" w:rsidRPr="00D560D0" w:rsidRDefault="00407F0A" w:rsidP="000B6FB4">
            <w:pPr>
              <w:pStyle w:val="Tabletext"/>
            </w:pPr>
            <w:r w:rsidRPr="00D560D0">
              <w:t>5 &lt;= x &lt; 10</w:t>
            </w:r>
          </w:p>
        </w:tc>
        <w:tc>
          <w:tcPr>
            <w:tcW w:w="1486" w:type="dxa"/>
            <w:tcBorders>
              <w:top w:val="nil"/>
              <w:left w:val="nil"/>
              <w:bottom w:val="nil"/>
              <w:right w:val="nil"/>
            </w:tcBorders>
            <w:shd w:val="clear" w:color="auto" w:fill="auto"/>
          </w:tcPr>
          <w:p w14:paraId="785423AE" w14:textId="77777777" w:rsidR="00407F0A" w:rsidRPr="00D560D0" w:rsidRDefault="00407F0A" w:rsidP="000B6FB4">
            <w:pPr>
              <w:pStyle w:val="Tabletext"/>
              <w:tabs>
                <w:tab w:val="decimal" w:pos="539"/>
              </w:tabs>
            </w:pPr>
            <w:r w:rsidRPr="00D560D0">
              <w:t xml:space="preserve"> 0.77*</w:t>
            </w:r>
          </w:p>
        </w:tc>
        <w:tc>
          <w:tcPr>
            <w:tcW w:w="1487" w:type="dxa"/>
            <w:tcBorders>
              <w:top w:val="nil"/>
              <w:left w:val="nil"/>
              <w:bottom w:val="nil"/>
              <w:right w:val="nil"/>
            </w:tcBorders>
            <w:shd w:val="clear" w:color="auto" w:fill="auto"/>
          </w:tcPr>
          <w:p w14:paraId="4EE9BCED" w14:textId="77777777" w:rsidR="00407F0A" w:rsidRPr="00D560D0" w:rsidRDefault="00407F0A" w:rsidP="000B6FB4">
            <w:pPr>
              <w:pStyle w:val="Tabletext"/>
              <w:tabs>
                <w:tab w:val="decimal" w:pos="539"/>
              </w:tabs>
            </w:pPr>
            <w:r w:rsidRPr="00D560D0">
              <w:t>-0.06</w:t>
            </w:r>
          </w:p>
        </w:tc>
        <w:tc>
          <w:tcPr>
            <w:tcW w:w="1486" w:type="dxa"/>
            <w:tcBorders>
              <w:top w:val="nil"/>
              <w:left w:val="nil"/>
              <w:bottom w:val="nil"/>
              <w:right w:val="nil"/>
            </w:tcBorders>
            <w:shd w:val="clear" w:color="auto" w:fill="auto"/>
          </w:tcPr>
          <w:p w14:paraId="7801AD88" w14:textId="77777777" w:rsidR="00407F0A" w:rsidRPr="00D560D0" w:rsidRDefault="00407F0A" w:rsidP="000B6FB4">
            <w:pPr>
              <w:pStyle w:val="Tabletext"/>
              <w:tabs>
                <w:tab w:val="decimal" w:pos="539"/>
              </w:tabs>
            </w:pPr>
            <w:r w:rsidRPr="00D560D0">
              <w:t>0.85</w:t>
            </w:r>
          </w:p>
        </w:tc>
        <w:tc>
          <w:tcPr>
            <w:tcW w:w="1487" w:type="dxa"/>
            <w:tcBorders>
              <w:top w:val="nil"/>
              <w:left w:val="nil"/>
              <w:bottom w:val="nil"/>
              <w:right w:val="nil"/>
            </w:tcBorders>
            <w:shd w:val="clear" w:color="auto" w:fill="auto"/>
          </w:tcPr>
          <w:p w14:paraId="736B27A6" w14:textId="77777777" w:rsidR="00407F0A" w:rsidRPr="00D560D0" w:rsidRDefault="00407F0A" w:rsidP="000B6FB4">
            <w:pPr>
              <w:pStyle w:val="Tabletext"/>
              <w:tabs>
                <w:tab w:val="decimal" w:pos="539"/>
              </w:tabs>
            </w:pPr>
            <w:r w:rsidRPr="00D560D0">
              <w:t>0.00</w:t>
            </w:r>
          </w:p>
        </w:tc>
      </w:tr>
      <w:tr w:rsidR="00407F0A" w:rsidRPr="00D560D0" w14:paraId="4984D53E" w14:textId="77777777" w:rsidTr="00680561">
        <w:tc>
          <w:tcPr>
            <w:tcW w:w="2559" w:type="dxa"/>
            <w:tcBorders>
              <w:top w:val="nil"/>
              <w:left w:val="nil"/>
              <w:bottom w:val="nil"/>
              <w:right w:val="nil"/>
            </w:tcBorders>
            <w:shd w:val="clear" w:color="auto" w:fill="auto"/>
          </w:tcPr>
          <w:p w14:paraId="6A1DD6D6" w14:textId="77777777" w:rsidR="00407F0A" w:rsidRPr="00D560D0" w:rsidRDefault="00407F0A" w:rsidP="000B6FB4">
            <w:pPr>
              <w:pStyle w:val="Tabletext"/>
            </w:pPr>
            <w:r w:rsidRPr="00D560D0">
              <w:t>10 &lt; = x &lt; 15</w:t>
            </w:r>
          </w:p>
        </w:tc>
        <w:tc>
          <w:tcPr>
            <w:tcW w:w="1486" w:type="dxa"/>
            <w:tcBorders>
              <w:top w:val="nil"/>
              <w:left w:val="nil"/>
              <w:bottom w:val="nil"/>
              <w:right w:val="nil"/>
            </w:tcBorders>
            <w:shd w:val="clear" w:color="auto" w:fill="auto"/>
          </w:tcPr>
          <w:p w14:paraId="15C7B114" w14:textId="77777777" w:rsidR="00407F0A" w:rsidRPr="00D560D0" w:rsidRDefault="00407F0A" w:rsidP="000B6FB4">
            <w:pPr>
              <w:pStyle w:val="Tabletext"/>
              <w:tabs>
                <w:tab w:val="decimal" w:pos="539"/>
              </w:tabs>
            </w:pPr>
            <w:r w:rsidRPr="00D560D0">
              <w:t>0.77*</w:t>
            </w:r>
          </w:p>
        </w:tc>
        <w:tc>
          <w:tcPr>
            <w:tcW w:w="1487" w:type="dxa"/>
            <w:tcBorders>
              <w:top w:val="nil"/>
              <w:left w:val="nil"/>
              <w:bottom w:val="nil"/>
              <w:right w:val="nil"/>
            </w:tcBorders>
            <w:shd w:val="clear" w:color="auto" w:fill="auto"/>
          </w:tcPr>
          <w:p w14:paraId="28E0FDDF" w14:textId="77777777" w:rsidR="00407F0A" w:rsidRPr="00D560D0" w:rsidRDefault="00407F0A" w:rsidP="000B6FB4">
            <w:pPr>
              <w:pStyle w:val="Tabletext"/>
              <w:tabs>
                <w:tab w:val="decimal" w:pos="539"/>
              </w:tabs>
            </w:pPr>
            <w:r w:rsidRPr="00D560D0">
              <w:t>-0.06</w:t>
            </w:r>
          </w:p>
        </w:tc>
        <w:tc>
          <w:tcPr>
            <w:tcW w:w="1486" w:type="dxa"/>
            <w:tcBorders>
              <w:top w:val="nil"/>
              <w:left w:val="nil"/>
              <w:bottom w:val="nil"/>
              <w:right w:val="nil"/>
            </w:tcBorders>
            <w:shd w:val="clear" w:color="auto" w:fill="auto"/>
          </w:tcPr>
          <w:p w14:paraId="5A7810ED" w14:textId="77777777" w:rsidR="00407F0A" w:rsidRPr="00D560D0" w:rsidRDefault="00407F0A" w:rsidP="000B6FB4">
            <w:pPr>
              <w:pStyle w:val="Tabletext"/>
              <w:tabs>
                <w:tab w:val="decimal" w:pos="539"/>
              </w:tabs>
            </w:pPr>
            <w:r w:rsidRPr="00D560D0">
              <w:t>0.83</w:t>
            </w:r>
          </w:p>
        </w:tc>
        <w:tc>
          <w:tcPr>
            <w:tcW w:w="1487" w:type="dxa"/>
            <w:tcBorders>
              <w:top w:val="nil"/>
              <w:left w:val="nil"/>
              <w:bottom w:val="nil"/>
              <w:right w:val="nil"/>
            </w:tcBorders>
            <w:shd w:val="clear" w:color="auto" w:fill="auto"/>
          </w:tcPr>
          <w:p w14:paraId="4B2E47C9" w14:textId="77777777" w:rsidR="00407F0A" w:rsidRPr="00D560D0" w:rsidRDefault="00407F0A" w:rsidP="000B6FB4">
            <w:pPr>
              <w:pStyle w:val="Tabletext"/>
              <w:tabs>
                <w:tab w:val="decimal" w:pos="539"/>
              </w:tabs>
            </w:pPr>
            <w:r w:rsidRPr="00D560D0">
              <w:t>-0.02</w:t>
            </w:r>
          </w:p>
        </w:tc>
      </w:tr>
      <w:tr w:rsidR="00407F0A" w:rsidRPr="00D560D0" w14:paraId="55070C90" w14:textId="77777777" w:rsidTr="00680561">
        <w:tc>
          <w:tcPr>
            <w:tcW w:w="2559" w:type="dxa"/>
            <w:tcBorders>
              <w:top w:val="nil"/>
              <w:left w:val="nil"/>
              <w:bottom w:val="nil"/>
              <w:right w:val="nil"/>
            </w:tcBorders>
            <w:shd w:val="clear" w:color="auto" w:fill="auto"/>
          </w:tcPr>
          <w:p w14:paraId="07F58298" w14:textId="77777777" w:rsidR="00407F0A" w:rsidRPr="00D560D0" w:rsidRDefault="00407F0A" w:rsidP="000B6FB4">
            <w:pPr>
              <w:pStyle w:val="Tabletext"/>
            </w:pPr>
            <w:r w:rsidRPr="00D560D0">
              <w:t>15 &lt; = x &lt; 20</w:t>
            </w:r>
          </w:p>
        </w:tc>
        <w:tc>
          <w:tcPr>
            <w:tcW w:w="1486" w:type="dxa"/>
            <w:tcBorders>
              <w:top w:val="nil"/>
              <w:left w:val="nil"/>
              <w:bottom w:val="nil"/>
              <w:right w:val="nil"/>
            </w:tcBorders>
            <w:shd w:val="clear" w:color="auto" w:fill="auto"/>
          </w:tcPr>
          <w:p w14:paraId="709FB73D" w14:textId="77777777" w:rsidR="00407F0A" w:rsidRPr="00D560D0" w:rsidRDefault="00407F0A" w:rsidP="000B6FB4">
            <w:pPr>
              <w:pStyle w:val="Tabletext"/>
              <w:tabs>
                <w:tab w:val="decimal" w:pos="539"/>
              </w:tabs>
            </w:pPr>
            <w:r w:rsidRPr="00D560D0">
              <w:t>0.69*</w:t>
            </w:r>
          </w:p>
        </w:tc>
        <w:tc>
          <w:tcPr>
            <w:tcW w:w="1487" w:type="dxa"/>
            <w:tcBorders>
              <w:top w:val="nil"/>
              <w:left w:val="nil"/>
              <w:bottom w:val="nil"/>
              <w:right w:val="nil"/>
            </w:tcBorders>
            <w:shd w:val="clear" w:color="auto" w:fill="auto"/>
          </w:tcPr>
          <w:p w14:paraId="3A459DF1" w14:textId="77777777" w:rsidR="00407F0A" w:rsidRPr="00D560D0" w:rsidRDefault="00407F0A" w:rsidP="000B6FB4">
            <w:pPr>
              <w:pStyle w:val="Tabletext"/>
              <w:tabs>
                <w:tab w:val="decimal" w:pos="539"/>
              </w:tabs>
            </w:pPr>
            <w:r w:rsidRPr="00D560D0">
              <w:t>-0.14</w:t>
            </w:r>
          </w:p>
        </w:tc>
        <w:tc>
          <w:tcPr>
            <w:tcW w:w="1486" w:type="dxa"/>
            <w:tcBorders>
              <w:top w:val="nil"/>
              <w:left w:val="nil"/>
              <w:bottom w:val="nil"/>
              <w:right w:val="nil"/>
            </w:tcBorders>
            <w:shd w:val="clear" w:color="auto" w:fill="auto"/>
          </w:tcPr>
          <w:p w14:paraId="1BC8E6EB" w14:textId="77777777" w:rsidR="00407F0A" w:rsidRPr="00D560D0" w:rsidRDefault="00407F0A" w:rsidP="000B6FB4">
            <w:pPr>
              <w:pStyle w:val="Tabletext"/>
              <w:tabs>
                <w:tab w:val="decimal" w:pos="539"/>
              </w:tabs>
            </w:pPr>
            <w:r w:rsidRPr="00D560D0">
              <w:t>0.78*</w:t>
            </w:r>
          </w:p>
        </w:tc>
        <w:tc>
          <w:tcPr>
            <w:tcW w:w="1487" w:type="dxa"/>
            <w:tcBorders>
              <w:top w:val="nil"/>
              <w:left w:val="nil"/>
              <w:bottom w:val="nil"/>
              <w:right w:val="nil"/>
            </w:tcBorders>
            <w:shd w:val="clear" w:color="auto" w:fill="auto"/>
          </w:tcPr>
          <w:p w14:paraId="054F79FA" w14:textId="77777777" w:rsidR="00407F0A" w:rsidRPr="00D560D0" w:rsidRDefault="00407F0A" w:rsidP="000B6FB4">
            <w:pPr>
              <w:pStyle w:val="Tabletext"/>
              <w:tabs>
                <w:tab w:val="decimal" w:pos="539"/>
              </w:tabs>
            </w:pPr>
            <w:r w:rsidRPr="00D560D0">
              <w:t>-0.07</w:t>
            </w:r>
          </w:p>
        </w:tc>
      </w:tr>
      <w:tr w:rsidR="00407F0A" w:rsidRPr="00D560D0" w14:paraId="3FB803D6" w14:textId="77777777" w:rsidTr="00680561">
        <w:tc>
          <w:tcPr>
            <w:tcW w:w="2559" w:type="dxa"/>
            <w:tcBorders>
              <w:top w:val="nil"/>
              <w:left w:val="nil"/>
              <w:bottom w:val="single" w:sz="4" w:space="0" w:color="auto"/>
              <w:right w:val="nil"/>
            </w:tcBorders>
            <w:shd w:val="clear" w:color="auto" w:fill="auto"/>
          </w:tcPr>
          <w:p w14:paraId="0A79D89E" w14:textId="77777777" w:rsidR="00407F0A" w:rsidRPr="00D560D0" w:rsidRDefault="00407F0A" w:rsidP="000B6FB4">
            <w:pPr>
              <w:pStyle w:val="Tabletext"/>
            </w:pPr>
            <w:r w:rsidRPr="00D560D0">
              <w:t>X &gt; = 20</w:t>
            </w:r>
          </w:p>
        </w:tc>
        <w:tc>
          <w:tcPr>
            <w:tcW w:w="1486" w:type="dxa"/>
            <w:tcBorders>
              <w:top w:val="nil"/>
              <w:left w:val="nil"/>
              <w:bottom w:val="single" w:sz="4" w:space="0" w:color="auto"/>
              <w:right w:val="nil"/>
            </w:tcBorders>
            <w:shd w:val="clear" w:color="auto" w:fill="auto"/>
          </w:tcPr>
          <w:p w14:paraId="7F77D2E0" w14:textId="77777777" w:rsidR="00407F0A" w:rsidRPr="00D560D0" w:rsidRDefault="00407F0A" w:rsidP="000B6FB4">
            <w:pPr>
              <w:pStyle w:val="Tabletext"/>
              <w:tabs>
                <w:tab w:val="decimal" w:pos="539"/>
              </w:tabs>
            </w:pPr>
            <w:r w:rsidRPr="00D560D0">
              <w:t>0.59*</w:t>
            </w:r>
          </w:p>
        </w:tc>
        <w:tc>
          <w:tcPr>
            <w:tcW w:w="1487" w:type="dxa"/>
            <w:tcBorders>
              <w:top w:val="nil"/>
              <w:left w:val="nil"/>
              <w:bottom w:val="single" w:sz="4" w:space="0" w:color="auto"/>
              <w:right w:val="nil"/>
            </w:tcBorders>
            <w:shd w:val="clear" w:color="auto" w:fill="auto"/>
          </w:tcPr>
          <w:p w14:paraId="32E1E565" w14:textId="77777777" w:rsidR="00407F0A" w:rsidRPr="00D560D0" w:rsidRDefault="00407F0A" w:rsidP="000B6FB4">
            <w:pPr>
              <w:pStyle w:val="Tabletext"/>
              <w:tabs>
                <w:tab w:val="decimal" w:pos="539"/>
              </w:tabs>
            </w:pPr>
            <w:r w:rsidRPr="00D560D0">
              <w:t>-0.24</w:t>
            </w:r>
          </w:p>
        </w:tc>
        <w:tc>
          <w:tcPr>
            <w:tcW w:w="1486" w:type="dxa"/>
            <w:tcBorders>
              <w:top w:val="nil"/>
              <w:left w:val="nil"/>
              <w:bottom w:val="single" w:sz="4" w:space="0" w:color="auto"/>
              <w:right w:val="nil"/>
            </w:tcBorders>
            <w:shd w:val="clear" w:color="auto" w:fill="auto"/>
          </w:tcPr>
          <w:p w14:paraId="1F2A1DA6" w14:textId="77777777" w:rsidR="00407F0A" w:rsidRPr="00D560D0" w:rsidRDefault="00407F0A" w:rsidP="000B6FB4">
            <w:pPr>
              <w:pStyle w:val="Tabletext"/>
              <w:tabs>
                <w:tab w:val="decimal" w:pos="539"/>
              </w:tabs>
            </w:pPr>
            <w:r w:rsidRPr="00D560D0">
              <w:t>0.70*</w:t>
            </w:r>
          </w:p>
        </w:tc>
        <w:tc>
          <w:tcPr>
            <w:tcW w:w="1487" w:type="dxa"/>
            <w:tcBorders>
              <w:top w:val="nil"/>
              <w:left w:val="nil"/>
              <w:bottom w:val="single" w:sz="4" w:space="0" w:color="auto"/>
              <w:right w:val="nil"/>
            </w:tcBorders>
            <w:shd w:val="clear" w:color="auto" w:fill="auto"/>
          </w:tcPr>
          <w:p w14:paraId="2DC0277F" w14:textId="77777777" w:rsidR="00407F0A" w:rsidRPr="00D560D0" w:rsidRDefault="00407F0A" w:rsidP="000B6FB4">
            <w:pPr>
              <w:pStyle w:val="Tabletext"/>
              <w:tabs>
                <w:tab w:val="decimal" w:pos="539"/>
              </w:tabs>
            </w:pPr>
            <w:r w:rsidRPr="00D560D0">
              <w:t>-0.15</w:t>
            </w:r>
          </w:p>
        </w:tc>
      </w:tr>
    </w:tbl>
    <w:p w14:paraId="1177F446" w14:textId="77777777" w:rsidR="00407F0A" w:rsidRPr="00D560D0" w:rsidRDefault="00407F0A" w:rsidP="00407F0A">
      <w:pPr>
        <w:pStyle w:val="Source"/>
      </w:pPr>
      <w:r w:rsidRPr="00D560D0">
        <w:t>Note:</w:t>
      </w:r>
      <w:r w:rsidRPr="00D560D0">
        <w:tab/>
        <w:t>* significantly different from not working.</w:t>
      </w:r>
    </w:p>
    <w:p w14:paraId="41E2D881" w14:textId="77777777" w:rsidR="00407F0A" w:rsidRDefault="00407F0A" w:rsidP="00303DC5">
      <w:pPr>
        <w:pStyle w:val="Text"/>
      </w:pPr>
      <w:r>
        <w:t>For males, working more than five hours while in Year 10 leads to a lower Year 11 retention rate of between -6 and -24 percentage points, whereas females can work up to 15 hours before the negative effects are observed, and with lesser impact (between -7 and -15 percentage points).</w:t>
      </w:r>
    </w:p>
    <w:p w14:paraId="369893BF" w14:textId="1C0ED1DB" w:rsidR="00407F0A" w:rsidRDefault="00407F0A" w:rsidP="00303DC5">
      <w:pPr>
        <w:pStyle w:val="Text"/>
      </w:pPr>
      <w:r>
        <w:t>For retention to Year 12, we see a lesser effect for males than we did with Year 11 retention, with hours worked in Year 11 not affecting Year 12 retention (not statistically significant) until the hours exceed 20 hours a week, and here the penalty is of the order of</w:t>
      </w:r>
      <w:r w:rsidR="00B9024E">
        <w:t xml:space="preserve"> </w:t>
      </w:r>
      <w:r w:rsidR="00831E94">
        <w:br/>
      </w:r>
      <w:r w:rsidR="00DD7563">
        <w:t>-</w:t>
      </w:r>
      <w:r>
        <w:t>8 percentage points.</w:t>
      </w:r>
    </w:p>
    <w:p w14:paraId="1668D9C9" w14:textId="57EB704C" w:rsidR="00407F0A" w:rsidRPr="00D560D0" w:rsidRDefault="00407F0A" w:rsidP="0091784F">
      <w:pPr>
        <w:pStyle w:val="Figuretitle"/>
        <w:rPr>
          <w:szCs w:val="16"/>
        </w:rPr>
      </w:pPr>
      <w:bookmarkStart w:id="273" w:name="_Ref221000452"/>
      <w:bookmarkStart w:id="274" w:name="_Toc221704702"/>
      <w:bookmarkStart w:id="275" w:name="_Toc297729171"/>
      <w:bookmarkStart w:id="276" w:name="_Toc19001682"/>
      <w:r w:rsidRPr="00D560D0">
        <w:t xml:space="preserve">Table </w:t>
      </w:r>
      <w:bookmarkEnd w:id="273"/>
      <w:r w:rsidR="00AB293C">
        <w:t>25</w:t>
      </w:r>
      <w:r w:rsidRPr="00D560D0">
        <w:tab/>
      </w:r>
      <w:bookmarkEnd w:id="274"/>
      <w:r w:rsidRPr="00D560D0">
        <w:t>Predicted probability of Year 11 to Year 12 retention by hours worked in Year 11</w:t>
      </w:r>
      <w:bookmarkEnd w:id="275"/>
      <w:bookmarkEnd w:id="276"/>
    </w:p>
    <w:tbl>
      <w:tblPr>
        <w:tblW w:w="7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5"/>
        <w:gridCol w:w="1418"/>
        <w:gridCol w:w="1559"/>
        <w:gridCol w:w="1417"/>
        <w:gridCol w:w="1418"/>
      </w:tblGrid>
      <w:tr w:rsidR="00407F0A" w:rsidRPr="00D560D0" w14:paraId="6F6980A0" w14:textId="77777777" w:rsidTr="00680561">
        <w:tc>
          <w:tcPr>
            <w:tcW w:w="1735" w:type="dxa"/>
            <w:tcBorders>
              <w:top w:val="single" w:sz="4" w:space="0" w:color="auto"/>
              <w:left w:val="nil"/>
              <w:bottom w:val="single" w:sz="4" w:space="0" w:color="auto"/>
              <w:right w:val="nil"/>
            </w:tcBorders>
            <w:shd w:val="clear" w:color="auto" w:fill="auto"/>
          </w:tcPr>
          <w:p w14:paraId="4F77ADDD" w14:textId="77777777" w:rsidR="00407F0A" w:rsidRPr="00D560D0" w:rsidRDefault="00407F0A" w:rsidP="000B6FB4">
            <w:pPr>
              <w:pStyle w:val="Tablehead1"/>
            </w:pPr>
            <w:r w:rsidRPr="00D560D0">
              <w:t>Working hours</w:t>
            </w:r>
          </w:p>
        </w:tc>
        <w:tc>
          <w:tcPr>
            <w:tcW w:w="1418" w:type="dxa"/>
            <w:tcBorders>
              <w:top w:val="single" w:sz="4" w:space="0" w:color="auto"/>
              <w:left w:val="nil"/>
              <w:bottom w:val="single" w:sz="4" w:space="0" w:color="auto"/>
              <w:right w:val="nil"/>
            </w:tcBorders>
            <w:shd w:val="clear" w:color="auto" w:fill="auto"/>
          </w:tcPr>
          <w:p w14:paraId="3D55D9D1" w14:textId="77777777" w:rsidR="00407F0A" w:rsidRPr="00D560D0" w:rsidRDefault="00407F0A" w:rsidP="000B6FB4">
            <w:pPr>
              <w:pStyle w:val="Tablehead1"/>
              <w:jc w:val="center"/>
            </w:pPr>
            <w:r w:rsidRPr="00D560D0">
              <w:t>Males</w:t>
            </w:r>
          </w:p>
        </w:tc>
        <w:tc>
          <w:tcPr>
            <w:tcW w:w="1559" w:type="dxa"/>
            <w:tcBorders>
              <w:top w:val="single" w:sz="4" w:space="0" w:color="auto"/>
              <w:left w:val="nil"/>
              <w:bottom w:val="single" w:sz="4" w:space="0" w:color="auto"/>
              <w:right w:val="nil"/>
            </w:tcBorders>
            <w:shd w:val="clear" w:color="auto" w:fill="auto"/>
          </w:tcPr>
          <w:p w14:paraId="2191FB4C" w14:textId="77777777" w:rsidR="00407F0A" w:rsidRPr="00D560D0" w:rsidRDefault="00407F0A" w:rsidP="000B6FB4">
            <w:pPr>
              <w:pStyle w:val="Tablehead1"/>
              <w:jc w:val="center"/>
            </w:pPr>
            <w:r w:rsidRPr="00D560D0">
              <w:t>Diff. from 0</w:t>
            </w:r>
          </w:p>
        </w:tc>
        <w:tc>
          <w:tcPr>
            <w:tcW w:w="1417" w:type="dxa"/>
            <w:tcBorders>
              <w:top w:val="single" w:sz="4" w:space="0" w:color="auto"/>
              <w:left w:val="nil"/>
              <w:bottom w:val="single" w:sz="4" w:space="0" w:color="auto"/>
              <w:right w:val="nil"/>
            </w:tcBorders>
            <w:shd w:val="clear" w:color="auto" w:fill="auto"/>
          </w:tcPr>
          <w:p w14:paraId="78625A50" w14:textId="77777777" w:rsidR="00407F0A" w:rsidRPr="00D560D0" w:rsidRDefault="00407F0A" w:rsidP="000B6FB4">
            <w:pPr>
              <w:pStyle w:val="Tablehead1"/>
              <w:jc w:val="center"/>
            </w:pPr>
            <w:r w:rsidRPr="00D560D0">
              <w:t>Females</w:t>
            </w:r>
          </w:p>
        </w:tc>
        <w:tc>
          <w:tcPr>
            <w:tcW w:w="1418" w:type="dxa"/>
            <w:tcBorders>
              <w:top w:val="single" w:sz="4" w:space="0" w:color="auto"/>
              <w:left w:val="nil"/>
              <w:bottom w:val="single" w:sz="4" w:space="0" w:color="auto"/>
              <w:right w:val="nil"/>
            </w:tcBorders>
            <w:shd w:val="clear" w:color="auto" w:fill="auto"/>
          </w:tcPr>
          <w:p w14:paraId="702FA8BE" w14:textId="77777777" w:rsidR="00407F0A" w:rsidRPr="00D560D0" w:rsidRDefault="00407F0A" w:rsidP="000B6FB4">
            <w:pPr>
              <w:pStyle w:val="Tablehead1"/>
              <w:jc w:val="center"/>
            </w:pPr>
            <w:r w:rsidRPr="00D560D0">
              <w:t>Diff. from 0</w:t>
            </w:r>
          </w:p>
        </w:tc>
      </w:tr>
      <w:tr w:rsidR="00407F0A" w:rsidRPr="00D560D0" w14:paraId="17A5BFE6" w14:textId="77777777" w:rsidTr="00680561">
        <w:tc>
          <w:tcPr>
            <w:tcW w:w="1735" w:type="dxa"/>
            <w:tcBorders>
              <w:top w:val="nil"/>
              <w:left w:val="nil"/>
              <w:bottom w:val="nil"/>
              <w:right w:val="nil"/>
            </w:tcBorders>
            <w:shd w:val="clear" w:color="auto" w:fill="auto"/>
          </w:tcPr>
          <w:p w14:paraId="3D7860DA" w14:textId="77777777" w:rsidR="00407F0A" w:rsidRPr="00D560D0" w:rsidRDefault="00407F0A" w:rsidP="000B6FB4">
            <w:pPr>
              <w:pStyle w:val="Tabletext"/>
              <w:rPr>
                <w:b/>
              </w:rPr>
            </w:pPr>
            <w:r w:rsidRPr="00D560D0">
              <w:rPr>
                <w:b/>
              </w:rPr>
              <w:t>Year 11</w:t>
            </w:r>
          </w:p>
        </w:tc>
        <w:tc>
          <w:tcPr>
            <w:tcW w:w="1418" w:type="dxa"/>
            <w:tcBorders>
              <w:top w:val="nil"/>
              <w:left w:val="nil"/>
              <w:bottom w:val="nil"/>
              <w:right w:val="nil"/>
            </w:tcBorders>
            <w:shd w:val="clear" w:color="auto" w:fill="auto"/>
          </w:tcPr>
          <w:p w14:paraId="4E28663C" w14:textId="77777777" w:rsidR="00407F0A" w:rsidRPr="00D560D0" w:rsidRDefault="00407F0A" w:rsidP="000B6FB4">
            <w:pPr>
              <w:pStyle w:val="Tabletext"/>
            </w:pPr>
          </w:p>
        </w:tc>
        <w:tc>
          <w:tcPr>
            <w:tcW w:w="1559" w:type="dxa"/>
            <w:tcBorders>
              <w:top w:val="nil"/>
              <w:left w:val="nil"/>
              <w:bottom w:val="nil"/>
              <w:right w:val="nil"/>
            </w:tcBorders>
            <w:shd w:val="clear" w:color="auto" w:fill="auto"/>
          </w:tcPr>
          <w:p w14:paraId="7EE6D9DE" w14:textId="77777777" w:rsidR="00407F0A" w:rsidRPr="00D560D0" w:rsidRDefault="00407F0A" w:rsidP="000B6FB4">
            <w:pPr>
              <w:pStyle w:val="Tabletext"/>
            </w:pPr>
          </w:p>
        </w:tc>
        <w:tc>
          <w:tcPr>
            <w:tcW w:w="1417" w:type="dxa"/>
            <w:tcBorders>
              <w:top w:val="nil"/>
              <w:left w:val="nil"/>
              <w:bottom w:val="nil"/>
              <w:right w:val="nil"/>
            </w:tcBorders>
            <w:shd w:val="clear" w:color="auto" w:fill="auto"/>
          </w:tcPr>
          <w:p w14:paraId="79412430" w14:textId="77777777" w:rsidR="00407F0A" w:rsidRPr="00D560D0" w:rsidRDefault="00407F0A" w:rsidP="000B6FB4">
            <w:pPr>
              <w:pStyle w:val="Tabletext"/>
            </w:pPr>
          </w:p>
        </w:tc>
        <w:tc>
          <w:tcPr>
            <w:tcW w:w="1418" w:type="dxa"/>
            <w:tcBorders>
              <w:top w:val="nil"/>
              <w:left w:val="nil"/>
              <w:bottom w:val="nil"/>
              <w:right w:val="nil"/>
            </w:tcBorders>
            <w:shd w:val="clear" w:color="auto" w:fill="auto"/>
          </w:tcPr>
          <w:p w14:paraId="53164018" w14:textId="77777777" w:rsidR="00407F0A" w:rsidRPr="00D560D0" w:rsidRDefault="00407F0A" w:rsidP="000B6FB4">
            <w:pPr>
              <w:pStyle w:val="Tabletext"/>
            </w:pPr>
          </w:p>
        </w:tc>
      </w:tr>
      <w:tr w:rsidR="00407F0A" w:rsidRPr="00D560D0" w14:paraId="455DF75B" w14:textId="77777777" w:rsidTr="00680561">
        <w:tc>
          <w:tcPr>
            <w:tcW w:w="1735" w:type="dxa"/>
            <w:tcBorders>
              <w:top w:val="nil"/>
              <w:left w:val="nil"/>
              <w:bottom w:val="nil"/>
              <w:right w:val="nil"/>
            </w:tcBorders>
            <w:shd w:val="clear" w:color="auto" w:fill="auto"/>
          </w:tcPr>
          <w:p w14:paraId="4CBF929A" w14:textId="77777777" w:rsidR="00407F0A" w:rsidRPr="00D560D0" w:rsidRDefault="00407F0A" w:rsidP="000B6FB4">
            <w:pPr>
              <w:pStyle w:val="Tabletext"/>
            </w:pPr>
            <w:r w:rsidRPr="00D560D0">
              <w:t>Not working</w:t>
            </w:r>
          </w:p>
        </w:tc>
        <w:tc>
          <w:tcPr>
            <w:tcW w:w="1418" w:type="dxa"/>
            <w:tcBorders>
              <w:top w:val="nil"/>
              <w:left w:val="nil"/>
              <w:bottom w:val="nil"/>
              <w:right w:val="nil"/>
            </w:tcBorders>
            <w:shd w:val="clear" w:color="auto" w:fill="auto"/>
          </w:tcPr>
          <w:p w14:paraId="6C67F2B0" w14:textId="77777777" w:rsidR="00407F0A" w:rsidRPr="00D560D0" w:rsidRDefault="00407F0A" w:rsidP="000B6FB4">
            <w:pPr>
              <w:pStyle w:val="Tabletext"/>
              <w:tabs>
                <w:tab w:val="decimal" w:pos="539"/>
              </w:tabs>
            </w:pPr>
            <w:r w:rsidRPr="00D560D0">
              <w:t>0.86</w:t>
            </w:r>
          </w:p>
        </w:tc>
        <w:tc>
          <w:tcPr>
            <w:tcW w:w="1559" w:type="dxa"/>
            <w:tcBorders>
              <w:top w:val="nil"/>
              <w:left w:val="nil"/>
              <w:bottom w:val="nil"/>
              <w:right w:val="nil"/>
            </w:tcBorders>
            <w:shd w:val="clear" w:color="auto" w:fill="auto"/>
          </w:tcPr>
          <w:p w14:paraId="6AD6347C" w14:textId="77777777" w:rsidR="00407F0A" w:rsidRPr="00D560D0" w:rsidRDefault="00407F0A" w:rsidP="000B6FB4">
            <w:pPr>
              <w:pStyle w:val="Tabletext"/>
              <w:tabs>
                <w:tab w:val="decimal" w:pos="539"/>
              </w:tabs>
            </w:pPr>
            <w:r w:rsidRPr="00D560D0">
              <w:t>-</w:t>
            </w:r>
          </w:p>
        </w:tc>
        <w:tc>
          <w:tcPr>
            <w:tcW w:w="1417" w:type="dxa"/>
            <w:tcBorders>
              <w:top w:val="nil"/>
              <w:left w:val="nil"/>
              <w:bottom w:val="nil"/>
              <w:right w:val="nil"/>
            </w:tcBorders>
            <w:shd w:val="clear" w:color="auto" w:fill="auto"/>
          </w:tcPr>
          <w:p w14:paraId="36A85E47" w14:textId="77777777" w:rsidR="00407F0A" w:rsidRPr="00D560D0" w:rsidRDefault="00407F0A" w:rsidP="000B6FB4">
            <w:pPr>
              <w:pStyle w:val="Tabletext"/>
              <w:tabs>
                <w:tab w:val="decimal" w:pos="539"/>
              </w:tabs>
            </w:pPr>
            <w:r w:rsidRPr="00D560D0">
              <w:t>0.88</w:t>
            </w:r>
          </w:p>
        </w:tc>
        <w:tc>
          <w:tcPr>
            <w:tcW w:w="1418" w:type="dxa"/>
            <w:tcBorders>
              <w:top w:val="nil"/>
              <w:left w:val="nil"/>
              <w:bottom w:val="nil"/>
              <w:right w:val="nil"/>
            </w:tcBorders>
            <w:shd w:val="clear" w:color="auto" w:fill="auto"/>
          </w:tcPr>
          <w:p w14:paraId="74358C8D" w14:textId="77777777" w:rsidR="00407F0A" w:rsidRPr="00D560D0" w:rsidRDefault="00407F0A" w:rsidP="000B6FB4">
            <w:pPr>
              <w:pStyle w:val="Tabletext"/>
              <w:tabs>
                <w:tab w:val="decimal" w:pos="539"/>
              </w:tabs>
            </w:pPr>
            <w:r w:rsidRPr="00D560D0">
              <w:t>-</w:t>
            </w:r>
          </w:p>
        </w:tc>
      </w:tr>
      <w:tr w:rsidR="00407F0A" w:rsidRPr="00D560D0" w14:paraId="783B695B" w14:textId="77777777" w:rsidTr="00680561">
        <w:tc>
          <w:tcPr>
            <w:tcW w:w="1735" w:type="dxa"/>
            <w:tcBorders>
              <w:top w:val="nil"/>
              <w:left w:val="nil"/>
              <w:bottom w:val="nil"/>
              <w:right w:val="nil"/>
            </w:tcBorders>
            <w:shd w:val="clear" w:color="auto" w:fill="auto"/>
          </w:tcPr>
          <w:p w14:paraId="40E73AE5" w14:textId="77777777" w:rsidR="00407F0A" w:rsidRPr="00D560D0" w:rsidRDefault="00407F0A" w:rsidP="000B6FB4">
            <w:pPr>
              <w:pStyle w:val="Tabletext"/>
            </w:pPr>
            <w:r w:rsidRPr="00D560D0">
              <w:t>0 &lt; x &lt; 5</w:t>
            </w:r>
          </w:p>
        </w:tc>
        <w:tc>
          <w:tcPr>
            <w:tcW w:w="1418" w:type="dxa"/>
            <w:tcBorders>
              <w:top w:val="nil"/>
              <w:left w:val="nil"/>
              <w:bottom w:val="nil"/>
              <w:right w:val="nil"/>
            </w:tcBorders>
            <w:shd w:val="clear" w:color="auto" w:fill="auto"/>
          </w:tcPr>
          <w:p w14:paraId="01CB3F0F" w14:textId="77777777" w:rsidR="00407F0A" w:rsidRPr="00D560D0" w:rsidRDefault="00407F0A" w:rsidP="000B6FB4">
            <w:pPr>
              <w:pStyle w:val="Tabletext"/>
              <w:tabs>
                <w:tab w:val="decimal" w:pos="539"/>
              </w:tabs>
            </w:pPr>
            <w:r w:rsidRPr="00D560D0">
              <w:t>0.85</w:t>
            </w:r>
          </w:p>
        </w:tc>
        <w:tc>
          <w:tcPr>
            <w:tcW w:w="1559" w:type="dxa"/>
            <w:tcBorders>
              <w:top w:val="nil"/>
              <w:left w:val="nil"/>
              <w:bottom w:val="nil"/>
              <w:right w:val="nil"/>
            </w:tcBorders>
            <w:shd w:val="clear" w:color="auto" w:fill="auto"/>
          </w:tcPr>
          <w:p w14:paraId="6D3ECA15" w14:textId="77777777" w:rsidR="00407F0A" w:rsidRPr="00D560D0" w:rsidRDefault="00407F0A" w:rsidP="000B6FB4">
            <w:pPr>
              <w:pStyle w:val="Tabletext"/>
              <w:tabs>
                <w:tab w:val="decimal" w:pos="539"/>
              </w:tabs>
            </w:pPr>
            <w:r w:rsidRPr="00D560D0">
              <w:t>-0.01</w:t>
            </w:r>
          </w:p>
        </w:tc>
        <w:tc>
          <w:tcPr>
            <w:tcW w:w="1417" w:type="dxa"/>
            <w:tcBorders>
              <w:top w:val="nil"/>
              <w:left w:val="nil"/>
              <w:bottom w:val="nil"/>
              <w:right w:val="nil"/>
            </w:tcBorders>
            <w:shd w:val="clear" w:color="auto" w:fill="auto"/>
          </w:tcPr>
          <w:p w14:paraId="1CDB8B35" w14:textId="77777777" w:rsidR="00407F0A" w:rsidRPr="00D560D0" w:rsidRDefault="00407F0A" w:rsidP="000B6FB4">
            <w:pPr>
              <w:pStyle w:val="Tabletext"/>
              <w:tabs>
                <w:tab w:val="decimal" w:pos="539"/>
              </w:tabs>
            </w:pPr>
            <w:r w:rsidRPr="00D560D0">
              <w:t>0.88</w:t>
            </w:r>
          </w:p>
        </w:tc>
        <w:tc>
          <w:tcPr>
            <w:tcW w:w="1418" w:type="dxa"/>
            <w:tcBorders>
              <w:top w:val="nil"/>
              <w:left w:val="nil"/>
              <w:bottom w:val="nil"/>
              <w:right w:val="nil"/>
            </w:tcBorders>
            <w:shd w:val="clear" w:color="auto" w:fill="auto"/>
          </w:tcPr>
          <w:p w14:paraId="2D78394F" w14:textId="77777777" w:rsidR="00407F0A" w:rsidRPr="00D560D0" w:rsidRDefault="00407F0A" w:rsidP="000B6FB4">
            <w:pPr>
              <w:pStyle w:val="Tabletext"/>
              <w:tabs>
                <w:tab w:val="decimal" w:pos="539"/>
              </w:tabs>
            </w:pPr>
            <w:r w:rsidRPr="00D560D0">
              <w:t>0.0</w:t>
            </w:r>
          </w:p>
        </w:tc>
      </w:tr>
      <w:tr w:rsidR="00407F0A" w:rsidRPr="00D560D0" w14:paraId="7407AA43" w14:textId="77777777" w:rsidTr="00680561">
        <w:tc>
          <w:tcPr>
            <w:tcW w:w="1735" w:type="dxa"/>
            <w:tcBorders>
              <w:top w:val="nil"/>
              <w:left w:val="nil"/>
              <w:bottom w:val="nil"/>
              <w:right w:val="nil"/>
            </w:tcBorders>
            <w:shd w:val="clear" w:color="auto" w:fill="auto"/>
          </w:tcPr>
          <w:p w14:paraId="1A45CA36" w14:textId="77777777" w:rsidR="00407F0A" w:rsidRPr="00D560D0" w:rsidRDefault="00407F0A" w:rsidP="000B6FB4">
            <w:pPr>
              <w:pStyle w:val="Tabletext"/>
            </w:pPr>
            <w:r w:rsidRPr="00D560D0">
              <w:t>5 &lt; = x &lt; 10</w:t>
            </w:r>
          </w:p>
        </w:tc>
        <w:tc>
          <w:tcPr>
            <w:tcW w:w="1418" w:type="dxa"/>
            <w:tcBorders>
              <w:top w:val="nil"/>
              <w:left w:val="nil"/>
              <w:bottom w:val="nil"/>
              <w:right w:val="nil"/>
            </w:tcBorders>
            <w:shd w:val="clear" w:color="auto" w:fill="auto"/>
          </w:tcPr>
          <w:p w14:paraId="026B40BA" w14:textId="77777777" w:rsidR="00407F0A" w:rsidRPr="00D560D0" w:rsidRDefault="00407F0A" w:rsidP="000B6FB4">
            <w:pPr>
              <w:pStyle w:val="Tabletext"/>
              <w:tabs>
                <w:tab w:val="decimal" w:pos="539"/>
              </w:tabs>
            </w:pPr>
            <w:r w:rsidRPr="00D560D0">
              <w:t>0.85</w:t>
            </w:r>
          </w:p>
        </w:tc>
        <w:tc>
          <w:tcPr>
            <w:tcW w:w="1559" w:type="dxa"/>
            <w:tcBorders>
              <w:top w:val="nil"/>
              <w:left w:val="nil"/>
              <w:bottom w:val="nil"/>
              <w:right w:val="nil"/>
            </w:tcBorders>
            <w:shd w:val="clear" w:color="auto" w:fill="auto"/>
          </w:tcPr>
          <w:p w14:paraId="679EE181" w14:textId="77777777" w:rsidR="00407F0A" w:rsidRPr="00D560D0" w:rsidRDefault="00407F0A" w:rsidP="000B6FB4">
            <w:pPr>
              <w:pStyle w:val="Tabletext"/>
              <w:tabs>
                <w:tab w:val="decimal" w:pos="539"/>
              </w:tabs>
            </w:pPr>
            <w:r w:rsidRPr="00D560D0">
              <w:t>-0.01</w:t>
            </w:r>
          </w:p>
        </w:tc>
        <w:tc>
          <w:tcPr>
            <w:tcW w:w="1417" w:type="dxa"/>
            <w:tcBorders>
              <w:top w:val="nil"/>
              <w:left w:val="nil"/>
              <w:bottom w:val="nil"/>
              <w:right w:val="nil"/>
            </w:tcBorders>
            <w:shd w:val="clear" w:color="auto" w:fill="auto"/>
          </w:tcPr>
          <w:p w14:paraId="553E0C13" w14:textId="77777777" w:rsidR="00407F0A" w:rsidRPr="00D560D0" w:rsidRDefault="00407F0A" w:rsidP="000B6FB4">
            <w:pPr>
              <w:pStyle w:val="Tabletext"/>
              <w:tabs>
                <w:tab w:val="decimal" w:pos="539"/>
              </w:tabs>
            </w:pPr>
            <w:r w:rsidRPr="00D560D0">
              <w:t>0.92</w:t>
            </w:r>
          </w:p>
        </w:tc>
        <w:tc>
          <w:tcPr>
            <w:tcW w:w="1418" w:type="dxa"/>
            <w:tcBorders>
              <w:top w:val="nil"/>
              <w:left w:val="nil"/>
              <w:bottom w:val="nil"/>
              <w:right w:val="nil"/>
            </w:tcBorders>
            <w:shd w:val="clear" w:color="auto" w:fill="auto"/>
          </w:tcPr>
          <w:p w14:paraId="48620932" w14:textId="77777777" w:rsidR="00407F0A" w:rsidRPr="00D560D0" w:rsidRDefault="00407F0A" w:rsidP="000B6FB4">
            <w:pPr>
              <w:pStyle w:val="Tabletext"/>
              <w:tabs>
                <w:tab w:val="decimal" w:pos="539"/>
              </w:tabs>
            </w:pPr>
            <w:r w:rsidRPr="00D560D0">
              <w:t>+0.04</w:t>
            </w:r>
          </w:p>
        </w:tc>
      </w:tr>
      <w:tr w:rsidR="00407F0A" w:rsidRPr="00D560D0" w14:paraId="0A2DB3D6" w14:textId="77777777" w:rsidTr="00680561">
        <w:tc>
          <w:tcPr>
            <w:tcW w:w="1735" w:type="dxa"/>
            <w:tcBorders>
              <w:top w:val="nil"/>
              <w:left w:val="nil"/>
              <w:bottom w:val="nil"/>
              <w:right w:val="nil"/>
            </w:tcBorders>
            <w:shd w:val="clear" w:color="auto" w:fill="auto"/>
          </w:tcPr>
          <w:p w14:paraId="651BCA24" w14:textId="77777777" w:rsidR="00407F0A" w:rsidRPr="00D560D0" w:rsidRDefault="00407F0A" w:rsidP="000B6FB4">
            <w:pPr>
              <w:pStyle w:val="Tabletext"/>
            </w:pPr>
            <w:r w:rsidRPr="00D560D0">
              <w:t>10 &lt; = x &lt; 15</w:t>
            </w:r>
          </w:p>
        </w:tc>
        <w:tc>
          <w:tcPr>
            <w:tcW w:w="1418" w:type="dxa"/>
            <w:tcBorders>
              <w:top w:val="nil"/>
              <w:left w:val="nil"/>
              <w:bottom w:val="nil"/>
              <w:right w:val="nil"/>
            </w:tcBorders>
            <w:shd w:val="clear" w:color="auto" w:fill="auto"/>
          </w:tcPr>
          <w:p w14:paraId="7626C661" w14:textId="77777777" w:rsidR="00407F0A" w:rsidRPr="00D560D0" w:rsidRDefault="00407F0A" w:rsidP="000B6FB4">
            <w:pPr>
              <w:pStyle w:val="Tabletext"/>
              <w:tabs>
                <w:tab w:val="decimal" w:pos="539"/>
              </w:tabs>
            </w:pPr>
            <w:r w:rsidRPr="00D560D0">
              <w:t>0.84</w:t>
            </w:r>
          </w:p>
        </w:tc>
        <w:tc>
          <w:tcPr>
            <w:tcW w:w="1559" w:type="dxa"/>
            <w:tcBorders>
              <w:top w:val="nil"/>
              <w:left w:val="nil"/>
              <w:bottom w:val="nil"/>
              <w:right w:val="nil"/>
            </w:tcBorders>
            <w:shd w:val="clear" w:color="auto" w:fill="auto"/>
          </w:tcPr>
          <w:p w14:paraId="48956861" w14:textId="77777777" w:rsidR="00407F0A" w:rsidRPr="00D560D0" w:rsidRDefault="00407F0A" w:rsidP="000B6FB4">
            <w:pPr>
              <w:pStyle w:val="Tabletext"/>
              <w:tabs>
                <w:tab w:val="decimal" w:pos="539"/>
              </w:tabs>
            </w:pPr>
            <w:r w:rsidRPr="00D560D0">
              <w:t>-0.02</w:t>
            </w:r>
          </w:p>
        </w:tc>
        <w:tc>
          <w:tcPr>
            <w:tcW w:w="1417" w:type="dxa"/>
            <w:tcBorders>
              <w:top w:val="nil"/>
              <w:left w:val="nil"/>
              <w:bottom w:val="nil"/>
              <w:right w:val="nil"/>
            </w:tcBorders>
            <w:shd w:val="clear" w:color="auto" w:fill="auto"/>
          </w:tcPr>
          <w:p w14:paraId="26D235DE" w14:textId="77777777" w:rsidR="00407F0A" w:rsidRPr="00D560D0" w:rsidRDefault="00407F0A" w:rsidP="000B6FB4">
            <w:pPr>
              <w:pStyle w:val="Tabletext"/>
              <w:tabs>
                <w:tab w:val="decimal" w:pos="539"/>
              </w:tabs>
            </w:pPr>
            <w:r w:rsidRPr="00D560D0">
              <w:t>0.88</w:t>
            </w:r>
          </w:p>
        </w:tc>
        <w:tc>
          <w:tcPr>
            <w:tcW w:w="1418" w:type="dxa"/>
            <w:tcBorders>
              <w:top w:val="nil"/>
              <w:left w:val="nil"/>
              <w:bottom w:val="nil"/>
              <w:right w:val="nil"/>
            </w:tcBorders>
            <w:shd w:val="clear" w:color="auto" w:fill="auto"/>
          </w:tcPr>
          <w:p w14:paraId="69695D50" w14:textId="77777777" w:rsidR="00407F0A" w:rsidRPr="00D560D0" w:rsidRDefault="00407F0A" w:rsidP="000B6FB4">
            <w:pPr>
              <w:pStyle w:val="Tabletext"/>
              <w:tabs>
                <w:tab w:val="decimal" w:pos="539"/>
              </w:tabs>
            </w:pPr>
            <w:r w:rsidRPr="00D560D0">
              <w:t>0.0</w:t>
            </w:r>
          </w:p>
        </w:tc>
      </w:tr>
      <w:tr w:rsidR="00407F0A" w:rsidRPr="00D560D0" w14:paraId="46C5FEE4" w14:textId="77777777" w:rsidTr="00680561">
        <w:tc>
          <w:tcPr>
            <w:tcW w:w="1735" w:type="dxa"/>
            <w:tcBorders>
              <w:top w:val="nil"/>
              <w:left w:val="nil"/>
              <w:bottom w:val="nil"/>
              <w:right w:val="nil"/>
            </w:tcBorders>
            <w:shd w:val="clear" w:color="auto" w:fill="auto"/>
          </w:tcPr>
          <w:p w14:paraId="1658D031" w14:textId="77777777" w:rsidR="00407F0A" w:rsidRPr="00D560D0" w:rsidRDefault="00407F0A" w:rsidP="000B6FB4">
            <w:pPr>
              <w:pStyle w:val="Tabletext"/>
            </w:pPr>
            <w:r w:rsidRPr="00D560D0">
              <w:t>15 &lt; = x &lt; 20</w:t>
            </w:r>
          </w:p>
        </w:tc>
        <w:tc>
          <w:tcPr>
            <w:tcW w:w="1418" w:type="dxa"/>
            <w:tcBorders>
              <w:top w:val="nil"/>
              <w:left w:val="nil"/>
              <w:bottom w:val="nil"/>
              <w:right w:val="nil"/>
            </w:tcBorders>
            <w:shd w:val="clear" w:color="auto" w:fill="auto"/>
          </w:tcPr>
          <w:p w14:paraId="6837AB29" w14:textId="77777777" w:rsidR="00407F0A" w:rsidRPr="00D560D0" w:rsidRDefault="00407F0A" w:rsidP="000B6FB4">
            <w:pPr>
              <w:pStyle w:val="Tabletext"/>
              <w:tabs>
                <w:tab w:val="decimal" w:pos="539"/>
              </w:tabs>
            </w:pPr>
            <w:r w:rsidRPr="00D560D0">
              <w:t>0.84</w:t>
            </w:r>
          </w:p>
        </w:tc>
        <w:tc>
          <w:tcPr>
            <w:tcW w:w="1559" w:type="dxa"/>
            <w:tcBorders>
              <w:top w:val="nil"/>
              <w:left w:val="nil"/>
              <w:bottom w:val="nil"/>
              <w:right w:val="nil"/>
            </w:tcBorders>
            <w:shd w:val="clear" w:color="auto" w:fill="auto"/>
          </w:tcPr>
          <w:p w14:paraId="3AAE290C" w14:textId="77777777" w:rsidR="00407F0A" w:rsidRPr="00D560D0" w:rsidRDefault="00407F0A" w:rsidP="000B6FB4">
            <w:pPr>
              <w:pStyle w:val="Tabletext"/>
              <w:tabs>
                <w:tab w:val="decimal" w:pos="539"/>
              </w:tabs>
            </w:pPr>
            <w:r w:rsidRPr="00D560D0">
              <w:t>-0.02</w:t>
            </w:r>
          </w:p>
        </w:tc>
        <w:tc>
          <w:tcPr>
            <w:tcW w:w="1417" w:type="dxa"/>
            <w:tcBorders>
              <w:top w:val="nil"/>
              <w:left w:val="nil"/>
              <w:bottom w:val="nil"/>
              <w:right w:val="nil"/>
            </w:tcBorders>
            <w:shd w:val="clear" w:color="auto" w:fill="auto"/>
          </w:tcPr>
          <w:p w14:paraId="46699371" w14:textId="77777777" w:rsidR="00407F0A" w:rsidRPr="00D560D0" w:rsidRDefault="00407F0A" w:rsidP="000B6FB4">
            <w:pPr>
              <w:pStyle w:val="Tabletext"/>
              <w:tabs>
                <w:tab w:val="decimal" w:pos="539"/>
              </w:tabs>
            </w:pPr>
            <w:r w:rsidRPr="00D560D0">
              <w:t>0.86*</w:t>
            </w:r>
          </w:p>
        </w:tc>
        <w:tc>
          <w:tcPr>
            <w:tcW w:w="1418" w:type="dxa"/>
            <w:tcBorders>
              <w:top w:val="nil"/>
              <w:left w:val="nil"/>
              <w:bottom w:val="nil"/>
              <w:right w:val="nil"/>
            </w:tcBorders>
            <w:shd w:val="clear" w:color="auto" w:fill="auto"/>
          </w:tcPr>
          <w:p w14:paraId="5B4A26F9" w14:textId="77777777" w:rsidR="00407F0A" w:rsidRPr="00D560D0" w:rsidRDefault="00407F0A" w:rsidP="000B6FB4">
            <w:pPr>
              <w:pStyle w:val="Tabletext"/>
              <w:tabs>
                <w:tab w:val="decimal" w:pos="539"/>
              </w:tabs>
            </w:pPr>
            <w:r w:rsidRPr="00D560D0">
              <w:t>-0.02</w:t>
            </w:r>
          </w:p>
        </w:tc>
      </w:tr>
      <w:tr w:rsidR="00407F0A" w:rsidRPr="00D560D0" w14:paraId="4D841542" w14:textId="77777777" w:rsidTr="00680561">
        <w:tc>
          <w:tcPr>
            <w:tcW w:w="1735" w:type="dxa"/>
            <w:tcBorders>
              <w:top w:val="nil"/>
              <w:left w:val="nil"/>
              <w:bottom w:val="single" w:sz="4" w:space="0" w:color="auto"/>
              <w:right w:val="nil"/>
            </w:tcBorders>
            <w:shd w:val="clear" w:color="auto" w:fill="auto"/>
          </w:tcPr>
          <w:p w14:paraId="34D041E7" w14:textId="77777777" w:rsidR="00407F0A" w:rsidRPr="00D560D0" w:rsidRDefault="00407F0A" w:rsidP="000B6FB4">
            <w:pPr>
              <w:pStyle w:val="Tabletext"/>
            </w:pPr>
            <w:r w:rsidRPr="00D560D0">
              <w:t>X &gt; = 20</w:t>
            </w:r>
          </w:p>
        </w:tc>
        <w:tc>
          <w:tcPr>
            <w:tcW w:w="1418" w:type="dxa"/>
            <w:tcBorders>
              <w:top w:val="nil"/>
              <w:left w:val="nil"/>
              <w:bottom w:val="single" w:sz="4" w:space="0" w:color="auto"/>
              <w:right w:val="nil"/>
            </w:tcBorders>
            <w:shd w:val="clear" w:color="auto" w:fill="auto"/>
          </w:tcPr>
          <w:p w14:paraId="347D02ED" w14:textId="77777777" w:rsidR="00407F0A" w:rsidRPr="00D560D0" w:rsidRDefault="00407F0A" w:rsidP="000B6FB4">
            <w:pPr>
              <w:pStyle w:val="Tabletext"/>
              <w:tabs>
                <w:tab w:val="decimal" w:pos="539"/>
              </w:tabs>
              <w:rPr>
                <w:i/>
              </w:rPr>
            </w:pPr>
            <w:r w:rsidRPr="00D560D0">
              <w:rPr>
                <w:i/>
              </w:rPr>
              <w:t>0.78*</w:t>
            </w:r>
          </w:p>
        </w:tc>
        <w:tc>
          <w:tcPr>
            <w:tcW w:w="1559" w:type="dxa"/>
            <w:tcBorders>
              <w:top w:val="nil"/>
              <w:left w:val="nil"/>
              <w:bottom w:val="single" w:sz="4" w:space="0" w:color="auto"/>
              <w:right w:val="nil"/>
            </w:tcBorders>
            <w:shd w:val="clear" w:color="auto" w:fill="auto"/>
          </w:tcPr>
          <w:p w14:paraId="3AE606EE" w14:textId="77777777" w:rsidR="00407F0A" w:rsidRPr="00D560D0" w:rsidRDefault="00407F0A" w:rsidP="000B6FB4">
            <w:pPr>
              <w:pStyle w:val="Tabletext"/>
              <w:tabs>
                <w:tab w:val="decimal" w:pos="539"/>
              </w:tabs>
            </w:pPr>
            <w:r w:rsidRPr="00D560D0">
              <w:t>-0.08</w:t>
            </w:r>
          </w:p>
        </w:tc>
        <w:tc>
          <w:tcPr>
            <w:tcW w:w="1417" w:type="dxa"/>
            <w:tcBorders>
              <w:top w:val="nil"/>
              <w:left w:val="nil"/>
              <w:bottom w:val="single" w:sz="4" w:space="0" w:color="auto"/>
              <w:right w:val="nil"/>
            </w:tcBorders>
            <w:shd w:val="clear" w:color="auto" w:fill="auto"/>
          </w:tcPr>
          <w:p w14:paraId="25A4A138" w14:textId="77777777" w:rsidR="00407F0A" w:rsidRPr="00D560D0" w:rsidRDefault="00407F0A" w:rsidP="000B6FB4">
            <w:pPr>
              <w:pStyle w:val="Tabletext"/>
              <w:tabs>
                <w:tab w:val="decimal" w:pos="539"/>
              </w:tabs>
            </w:pPr>
            <w:r w:rsidRPr="00D560D0">
              <w:t>0.75*</w:t>
            </w:r>
          </w:p>
        </w:tc>
        <w:tc>
          <w:tcPr>
            <w:tcW w:w="1418" w:type="dxa"/>
            <w:tcBorders>
              <w:top w:val="nil"/>
              <w:left w:val="nil"/>
              <w:bottom w:val="single" w:sz="4" w:space="0" w:color="auto"/>
              <w:right w:val="nil"/>
            </w:tcBorders>
            <w:shd w:val="clear" w:color="auto" w:fill="auto"/>
          </w:tcPr>
          <w:p w14:paraId="37C9A322" w14:textId="77777777" w:rsidR="00407F0A" w:rsidRPr="00D560D0" w:rsidRDefault="00407F0A" w:rsidP="000B6FB4">
            <w:pPr>
              <w:pStyle w:val="Tabletext"/>
              <w:tabs>
                <w:tab w:val="decimal" w:pos="539"/>
              </w:tabs>
            </w:pPr>
            <w:r w:rsidRPr="00D560D0">
              <w:t>-0.13</w:t>
            </w:r>
          </w:p>
        </w:tc>
      </w:tr>
    </w:tbl>
    <w:p w14:paraId="5F3070DF" w14:textId="77777777" w:rsidR="00407F0A" w:rsidRPr="00D560D0" w:rsidRDefault="00407F0A" w:rsidP="00407F0A">
      <w:pPr>
        <w:pStyle w:val="Source"/>
      </w:pPr>
      <w:r w:rsidRPr="00D560D0">
        <w:t>Note:</w:t>
      </w:r>
      <w:r w:rsidRPr="00D560D0">
        <w:tab/>
        <w:t>* significantly different from not working.</w:t>
      </w:r>
    </w:p>
    <w:p w14:paraId="60670A6E" w14:textId="0EF5AB7A" w:rsidR="00407F0A" w:rsidRDefault="00407F0A" w:rsidP="00303DC5">
      <w:pPr>
        <w:pStyle w:val="Text"/>
      </w:pPr>
      <w:r w:rsidRPr="00D560D0">
        <w:t>For females, working more than 15 hours</w:t>
      </w:r>
      <w:r>
        <w:t xml:space="preserve"> a week in Year 11 increases the probability of leaving school prior to undertaking Year 12</w:t>
      </w:r>
      <w:r w:rsidR="00715426">
        <w:t>:</w:t>
      </w:r>
      <w:r>
        <w:t xml:space="preserve"> a couple of percentage points for 15</w:t>
      </w:r>
      <w:r w:rsidR="00E649F2">
        <w:t xml:space="preserve"> to </w:t>
      </w:r>
      <w:r>
        <w:t>20 hours and 13 percentage points for more than 20 hours of work. Again, as for males, the effect of combining work and study is not as strong for retention to Year 12 as it is for retention to Year 11.</w:t>
      </w:r>
    </w:p>
    <w:p w14:paraId="6C07FB9E" w14:textId="77777777" w:rsidR="00407F0A" w:rsidRDefault="00407F0A" w:rsidP="00407F0A">
      <w:pPr>
        <w:pStyle w:val="Heading3"/>
      </w:pPr>
      <w:r>
        <w:t>Impact on school performance (TER score)</w:t>
      </w:r>
    </w:p>
    <w:p w14:paraId="094CDE8D" w14:textId="7AB38C73" w:rsidR="00407F0A" w:rsidRDefault="00407F0A" w:rsidP="00303DC5">
      <w:pPr>
        <w:pStyle w:val="Text"/>
      </w:pPr>
      <w:r>
        <w:t xml:space="preserve">Ordinary least squares (OLS) regressions were used to investigate the effect of hours of work in Year 12 on Year 12 performance as measured using TER scores. These regressions </w:t>
      </w:r>
      <w:r>
        <w:lastRenderedPageBreak/>
        <w:t xml:space="preserve">considered only those in Year 12 who </w:t>
      </w:r>
      <w:proofErr w:type="gramStart"/>
      <w:r>
        <w:t>actually obtained</w:t>
      </w:r>
      <w:proofErr w:type="gramEnd"/>
      <w:r>
        <w:t xml:space="preserve"> a TER score</w:t>
      </w:r>
      <w:r w:rsidR="003E020D">
        <w:t>.</w:t>
      </w:r>
      <w:r w:rsidRPr="00D667F1">
        <w:rPr>
          <w:rStyle w:val="FootnoteReference"/>
          <w:rFonts w:ascii="Trebuchet MS" w:hAnsi="Trebuchet MS"/>
          <w:vertAlign w:val="superscript"/>
        </w:rPr>
        <w:footnoteReference w:id="15"/>
      </w:r>
      <w:r w:rsidRPr="00F30E73">
        <w:t xml:space="preserve"> </w:t>
      </w:r>
      <w:r>
        <w:t>The results of the regressions, presented as adjusted mean TER</w:t>
      </w:r>
      <w:r w:rsidR="00303DC5">
        <w:t>,</w:t>
      </w:r>
      <w:r>
        <w:t xml:space="preserve"> are contained in </w:t>
      </w:r>
      <w:r w:rsidR="003E020D">
        <w:t>t</w:t>
      </w:r>
      <w:r>
        <w:t xml:space="preserve">able </w:t>
      </w:r>
      <w:r w:rsidR="007B768D">
        <w:t>2</w:t>
      </w:r>
      <w:r>
        <w:t xml:space="preserve">6 for males and </w:t>
      </w:r>
      <w:r w:rsidR="003E020D">
        <w:t>t</w:t>
      </w:r>
      <w:r>
        <w:t xml:space="preserve">able </w:t>
      </w:r>
      <w:r w:rsidR="007B768D">
        <w:t>2</w:t>
      </w:r>
      <w:r>
        <w:t>7 for females.</w:t>
      </w:r>
    </w:p>
    <w:p w14:paraId="65028E54" w14:textId="7D0530F1" w:rsidR="00407F0A" w:rsidRPr="00C836B8" w:rsidRDefault="00407F0A" w:rsidP="00407F0A">
      <w:pPr>
        <w:pStyle w:val="tabletitle0"/>
        <w:rPr>
          <w:sz w:val="16"/>
          <w:szCs w:val="16"/>
        </w:rPr>
      </w:pPr>
      <w:bookmarkStart w:id="277" w:name="_Ref223840003"/>
      <w:bookmarkStart w:id="278" w:name="_Ref225749673"/>
      <w:bookmarkStart w:id="279" w:name="_Toc221704705"/>
      <w:bookmarkStart w:id="280" w:name="_Toc297729172"/>
      <w:bookmarkStart w:id="281" w:name="_Toc19001683"/>
      <w:r>
        <w:t>Table</w:t>
      </w:r>
      <w:r w:rsidRPr="001C7B79">
        <w:t xml:space="preserve"> </w:t>
      </w:r>
      <w:bookmarkEnd w:id="277"/>
      <w:bookmarkEnd w:id="278"/>
      <w:r w:rsidR="00AB293C">
        <w:t>26</w:t>
      </w:r>
      <w:r>
        <w:tab/>
      </w:r>
      <w:bookmarkEnd w:id="279"/>
      <w:r>
        <w:t>Mean TER s</w:t>
      </w:r>
      <w:r w:rsidRPr="001C7B79">
        <w:t>co</w:t>
      </w:r>
      <w:r>
        <w:t>res by hours worked in Year 12,</w:t>
      </w:r>
      <w:r w:rsidRPr="001C7B79">
        <w:t xml:space="preserve"> males</w:t>
      </w:r>
      <w:bookmarkEnd w:id="280"/>
      <w:bookmarkEnd w:id="281"/>
    </w:p>
    <w:tbl>
      <w:tblPr>
        <w:tblW w:w="7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5"/>
        <w:gridCol w:w="1843"/>
        <w:gridCol w:w="1984"/>
        <w:gridCol w:w="1985"/>
      </w:tblGrid>
      <w:tr w:rsidR="00407F0A" w:rsidRPr="00871301" w14:paraId="24157A35" w14:textId="77777777" w:rsidTr="00D40137">
        <w:tc>
          <w:tcPr>
            <w:tcW w:w="1735" w:type="dxa"/>
            <w:tcBorders>
              <w:top w:val="single" w:sz="4" w:space="0" w:color="auto"/>
              <w:left w:val="nil"/>
              <w:bottom w:val="single" w:sz="4" w:space="0" w:color="auto"/>
              <w:right w:val="nil"/>
            </w:tcBorders>
            <w:shd w:val="clear" w:color="auto" w:fill="auto"/>
          </w:tcPr>
          <w:p w14:paraId="2E1B14D1" w14:textId="77777777" w:rsidR="00407F0A" w:rsidRPr="00871301" w:rsidRDefault="00407F0A" w:rsidP="000B6FB4">
            <w:pPr>
              <w:pStyle w:val="Tablehead1"/>
            </w:pPr>
            <w:r>
              <w:t>Hours w</w:t>
            </w:r>
            <w:r w:rsidRPr="00871301">
              <w:t>orked</w:t>
            </w:r>
          </w:p>
        </w:tc>
        <w:tc>
          <w:tcPr>
            <w:tcW w:w="1843" w:type="dxa"/>
            <w:tcBorders>
              <w:top w:val="single" w:sz="4" w:space="0" w:color="auto"/>
              <w:left w:val="nil"/>
              <w:bottom w:val="single" w:sz="4" w:space="0" w:color="auto"/>
              <w:right w:val="nil"/>
            </w:tcBorders>
            <w:shd w:val="clear" w:color="auto" w:fill="auto"/>
          </w:tcPr>
          <w:p w14:paraId="5FFA69C5" w14:textId="77777777" w:rsidR="00407F0A" w:rsidRPr="00871301" w:rsidRDefault="00407F0A" w:rsidP="000B6FB4">
            <w:pPr>
              <w:pStyle w:val="Tablehead1"/>
              <w:jc w:val="center"/>
            </w:pPr>
            <w:r w:rsidRPr="00871301">
              <w:t>Mean TER</w:t>
            </w:r>
          </w:p>
        </w:tc>
        <w:tc>
          <w:tcPr>
            <w:tcW w:w="1984" w:type="dxa"/>
            <w:tcBorders>
              <w:top w:val="single" w:sz="4" w:space="0" w:color="auto"/>
              <w:left w:val="nil"/>
              <w:bottom w:val="single" w:sz="4" w:space="0" w:color="auto"/>
              <w:right w:val="nil"/>
            </w:tcBorders>
            <w:shd w:val="clear" w:color="auto" w:fill="auto"/>
          </w:tcPr>
          <w:p w14:paraId="24B88E39" w14:textId="77777777" w:rsidR="00407F0A" w:rsidRPr="00871301" w:rsidRDefault="00407F0A" w:rsidP="000B6FB4">
            <w:pPr>
              <w:pStyle w:val="Tablehead1"/>
              <w:jc w:val="center"/>
            </w:pPr>
            <w:r>
              <w:t xml:space="preserve">Difference from </w:t>
            </w:r>
            <w:r>
              <w:br/>
              <w:t>not w</w:t>
            </w:r>
            <w:r w:rsidRPr="00871301">
              <w:t>orking</w:t>
            </w:r>
          </w:p>
        </w:tc>
        <w:tc>
          <w:tcPr>
            <w:tcW w:w="1985" w:type="dxa"/>
            <w:tcBorders>
              <w:top w:val="single" w:sz="4" w:space="0" w:color="auto"/>
              <w:left w:val="nil"/>
              <w:bottom w:val="single" w:sz="4" w:space="0" w:color="auto"/>
              <w:right w:val="nil"/>
            </w:tcBorders>
            <w:shd w:val="clear" w:color="auto" w:fill="auto"/>
          </w:tcPr>
          <w:p w14:paraId="5734EA83" w14:textId="77777777" w:rsidR="00407F0A" w:rsidRPr="00871301" w:rsidRDefault="00407F0A" w:rsidP="000B6FB4">
            <w:pPr>
              <w:pStyle w:val="Tablehead1"/>
              <w:jc w:val="center"/>
            </w:pPr>
            <w:r>
              <w:t>95% c</w:t>
            </w:r>
            <w:r w:rsidRPr="00871301">
              <w:t>onfidence Interval</w:t>
            </w:r>
          </w:p>
        </w:tc>
      </w:tr>
      <w:tr w:rsidR="00407F0A" w:rsidRPr="00871301" w14:paraId="12F49EDE" w14:textId="77777777" w:rsidTr="00D40137">
        <w:tc>
          <w:tcPr>
            <w:tcW w:w="1735" w:type="dxa"/>
            <w:tcBorders>
              <w:top w:val="single" w:sz="4" w:space="0" w:color="auto"/>
              <w:left w:val="nil"/>
              <w:bottom w:val="nil"/>
              <w:right w:val="nil"/>
            </w:tcBorders>
            <w:shd w:val="clear" w:color="auto" w:fill="auto"/>
          </w:tcPr>
          <w:p w14:paraId="66FE1C31" w14:textId="77777777" w:rsidR="00407F0A" w:rsidRPr="002B1164" w:rsidRDefault="00407F0A" w:rsidP="000B6FB4">
            <w:pPr>
              <w:pStyle w:val="Tabletext"/>
            </w:pPr>
            <w:r w:rsidRPr="002B1164">
              <w:t>Not working</w:t>
            </w:r>
          </w:p>
        </w:tc>
        <w:tc>
          <w:tcPr>
            <w:tcW w:w="1843" w:type="dxa"/>
            <w:tcBorders>
              <w:top w:val="single" w:sz="4" w:space="0" w:color="auto"/>
              <w:left w:val="nil"/>
              <w:bottom w:val="nil"/>
              <w:right w:val="nil"/>
            </w:tcBorders>
            <w:shd w:val="clear" w:color="auto" w:fill="auto"/>
          </w:tcPr>
          <w:p w14:paraId="3D8C74F1" w14:textId="77777777" w:rsidR="00407F0A" w:rsidRPr="00871301" w:rsidRDefault="00407F0A" w:rsidP="000B6FB4">
            <w:pPr>
              <w:pStyle w:val="Tabletext"/>
              <w:tabs>
                <w:tab w:val="decimal" w:pos="879"/>
              </w:tabs>
            </w:pPr>
            <w:r w:rsidRPr="00871301">
              <w:t>75.5</w:t>
            </w:r>
          </w:p>
        </w:tc>
        <w:tc>
          <w:tcPr>
            <w:tcW w:w="1984" w:type="dxa"/>
            <w:tcBorders>
              <w:top w:val="single" w:sz="4" w:space="0" w:color="auto"/>
              <w:left w:val="nil"/>
              <w:bottom w:val="nil"/>
              <w:right w:val="nil"/>
            </w:tcBorders>
            <w:shd w:val="clear" w:color="auto" w:fill="auto"/>
          </w:tcPr>
          <w:p w14:paraId="506F2607" w14:textId="77777777" w:rsidR="00407F0A" w:rsidRPr="00871301" w:rsidRDefault="00407F0A" w:rsidP="000B6FB4">
            <w:pPr>
              <w:pStyle w:val="Tabletext"/>
              <w:tabs>
                <w:tab w:val="decimal" w:pos="851"/>
              </w:tabs>
            </w:pPr>
            <w:r w:rsidRPr="00871301">
              <w:t>-</w:t>
            </w:r>
          </w:p>
        </w:tc>
        <w:tc>
          <w:tcPr>
            <w:tcW w:w="1985" w:type="dxa"/>
            <w:tcBorders>
              <w:top w:val="single" w:sz="4" w:space="0" w:color="auto"/>
              <w:left w:val="nil"/>
              <w:bottom w:val="nil"/>
              <w:right w:val="nil"/>
            </w:tcBorders>
            <w:shd w:val="clear" w:color="auto" w:fill="auto"/>
          </w:tcPr>
          <w:p w14:paraId="5312CAA3" w14:textId="77777777" w:rsidR="00407F0A" w:rsidRPr="00871301" w:rsidRDefault="00407F0A" w:rsidP="000B6FB4">
            <w:pPr>
              <w:pStyle w:val="Tabletext"/>
              <w:tabs>
                <w:tab w:val="decimal" w:pos="709"/>
              </w:tabs>
            </w:pPr>
            <w:r w:rsidRPr="00871301">
              <w:t>(74.5, 76.5)</w:t>
            </w:r>
          </w:p>
        </w:tc>
      </w:tr>
      <w:tr w:rsidR="00407F0A" w:rsidRPr="00871301" w14:paraId="153333B1" w14:textId="77777777" w:rsidTr="00D40137">
        <w:tc>
          <w:tcPr>
            <w:tcW w:w="1735" w:type="dxa"/>
            <w:tcBorders>
              <w:top w:val="nil"/>
              <w:left w:val="nil"/>
              <w:bottom w:val="nil"/>
              <w:right w:val="nil"/>
            </w:tcBorders>
            <w:shd w:val="clear" w:color="auto" w:fill="auto"/>
          </w:tcPr>
          <w:p w14:paraId="4D7F6158" w14:textId="77777777" w:rsidR="00407F0A" w:rsidRPr="00871301" w:rsidRDefault="00407F0A" w:rsidP="000B6FB4">
            <w:pPr>
              <w:pStyle w:val="Tabletext"/>
            </w:pPr>
            <w:r w:rsidRPr="00871301">
              <w:t>0 &lt; x &lt; 5</w:t>
            </w:r>
          </w:p>
        </w:tc>
        <w:tc>
          <w:tcPr>
            <w:tcW w:w="1843" w:type="dxa"/>
            <w:tcBorders>
              <w:top w:val="nil"/>
              <w:left w:val="nil"/>
              <w:bottom w:val="nil"/>
              <w:right w:val="nil"/>
            </w:tcBorders>
            <w:shd w:val="clear" w:color="auto" w:fill="auto"/>
          </w:tcPr>
          <w:p w14:paraId="2AC65DBD" w14:textId="77777777" w:rsidR="00407F0A" w:rsidRPr="00871301" w:rsidRDefault="00407F0A" w:rsidP="000B6FB4">
            <w:pPr>
              <w:pStyle w:val="Tabletext"/>
              <w:tabs>
                <w:tab w:val="decimal" w:pos="879"/>
              </w:tabs>
            </w:pPr>
            <w:r w:rsidRPr="00871301">
              <w:t>75.4</w:t>
            </w:r>
          </w:p>
        </w:tc>
        <w:tc>
          <w:tcPr>
            <w:tcW w:w="1984" w:type="dxa"/>
            <w:tcBorders>
              <w:top w:val="nil"/>
              <w:left w:val="nil"/>
              <w:bottom w:val="nil"/>
              <w:right w:val="nil"/>
            </w:tcBorders>
            <w:shd w:val="clear" w:color="auto" w:fill="auto"/>
          </w:tcPr>
          <w:p w14:paraId="1706DD4D" w14:textId="77777777" w:rsidR="00407F0A" w:rsidRPr="00871301" w:rsidRDefault="00407F0A" w:rsidP="000B6FB4">
            <w:pPr>
              <w:pStyle w:val="Tabletext"/>
              <w:tabs>
                <w:tab w:val="decimal" w:pos="851"/>
              </w:tabs>
            </w:pPr>
            <w:r w:rsidRPr="00871301">
              <w:t>-0.1</w:t>
            </w:r>
          </w:p>
        </w:tc>
        <w:tc>
          <w:tcPr>
            <w:tcW w:w="1985" w:type="dxa"/>
            <w:tcBorders>
              <w:top w:val="nil"/>
              <w:left w:val="nil"/>
              <w:bottom w:val="nil"/>
              <w:right w:val="nil"/>
            </w:tcBorders>
            <w:shd w:val="clear" w:color="auto" w:fill="auto"/>
          </w:tcPr>
          <w:p w14:paraId="7D648AF1" w14:textId="77777777" w:rsidR="00407F0A" w:rsidRPr="00871301" w:rsidRDefault="00407F0A" w:rsidP="000B6FB4">
            <w:pPr>
              <w:pStyle w:val="Tabletext"/>
              <w:tabs>
                <w:tab w:val="decimal" w:pos="709"/>
              </w:tabs>
            </w:pPr>
            <w:r w:rsidRPr="00871301">
              <w:t>(72.5, 78.1)</w:t>
            </w:r>
          </w:p>
        </w:tc>
      </w:tr>
      <w:tr w:rsidR="00407F0A" w:rsidRPr="00871301" w14:paraId="7BBF517A" w14:textId="77777777" w:rsidTr="00D40137">
        <w:tc>
          <w:tcPr>
            <w:tcW w:w="1735" w:type="dxa"/>
            <w:tcBorders>
              <w:top w:val="nil"/>
              <w:left w:val="nil"/>
              <w:bottom w:val="nil"/>
              <w:right w:val="nil"/>
            </w:tcBorders>
            <w:shd w:val="clear" w:color="auto" w:fill="auto"/>
          </w:tcPr>
          <w:p w14:paraId="6852D5C1" w14:textId="77777777" w:rsidR="00407F0A" w:rsidRPr="00871301" w:rsidRDefault="00407F0A" w:rsidP="000B6FB4">
            <w:pPr>
              <w:pStyle w:val="Tabletext"/>
            </w:pPr>
            <w:r w:rsidRPr="00871301">
              <w:t>5 &lt; = x &lt; 10</w:t>
            </w:r>
          </w:p>
        </w:tc>
        <w:tc>
          <w:tcPr>
            <w:tcW w:w="1843" w:type="dxa"/>
            <w:tcBorders>
              <w:top w:val="nil"/>
              <w:left w:val="nil"/>
              <w:bottom w:val="nil"/>
              <w:right w:val="nil"/>
            </w:tcBorders>
            <w:shd w:val="clear" w:color="auto" w:fill="auto"/>
          </w:tcPr>
          <w:p w14:paraId="4CDF3FC1" w14:textId="77777777" w:rsidR="00407F0A" w:rsidRPr="00807091" w:rsidRDefault="00407F0A" w:rsidP="000B6FB4">
            <w:pPr>
              <w:pStyle w:val="Tabletext"/>
              <w:tabs>
                <w:tab w:val="decimal" w:pos="879"/>
              </w:tabs>
            </w:pPr>
            <w:r w:rsidRPr="00807091">
              <w:t>73.4*</w:t>
            </w:r>
          </w:p>
        </w:tc>
        <w:tc>
          <w:tcPr>
            <w:tcW w:w="1984" w:type="dxa"/>
            <w:tcBorders>
              <w:top w:val="nil"/>
              <w:left w:val="nil"/>
              <w:bottom w:val="nil"/>
              <w:right w:val="nil"/>
            </w:tcBorders>
            <w:shd w:val="clear" w:color="auto" w:fill="auto"/>
          </w:tcPr>
          <w:p w14:paraId="2B9DA582" w14:textId="77777777" w:rsidR="00407F0A" w:rsidRPr="00807091" w:rsidRDefault="00407F0A" w:rsidP="000B6FB4">
            <w:pPr>
              <w:pStyle w:val="Tabletext"/>
              <w:tabs>
                <w:tab w:val="decimal" w:pos="851"/>
              </w:tabs>
            </w:pPr>
            <w:r w:rsidRPr="00807091">
              <w:t>-2.1</w:t>
            </w:r>
          </w:p>
        </w:tc>
        <w:tc>
          <w:tcPr>
            <w:tcW w:w="1985" w:type="dxa"/>
            <w:tcBorders>
              <w:top w:val="nil"/>
              <w:left w:val="nil"/>
              <w:bottom w:val="nil"/>
              <w:right w:val="nil"/>
            </w:tcBorders>
            <w:shd w:val="clear" w:color="auto" w:fill="auto"/>
          </w:tcPr>
          <w:p w14:paraId="59E33043" w14:textId="77777777" w:rsidR="00407F0A" w:rsidRPr="00871301" w:rsidRDefault="00407F0A" w:rsidP="000B6FB4">
            <w:pPr>
              <w:pStyle w:val="Tabletext"/>
              <w:tabs>
                <w:tab w:val="decimal" w:pos="709"/>
              </w:tabs>
            </w:pPr>
            <w:r w:rsidRPr="00871301">
              <w:t>(71.4, 75.3)</w:t>
            </w:r>
          </w:p>
        </w:tc>
      </w:tr>
      <w:tr w:rsidR="00407F0A" w:rsidRPr="00871301" w14:paraId="1B132D21" w14:textId="77777777" w:rsidTr="00D40137">
        <w:tc>
          <w:tcPr>
            <w:tcW w:w="1735" w:type="dxa"/>
            <w:tcBorders>
              <w:top w:val="nil"/>
              <w:left w:val="nil"/>
              <w:bottom w:val="nil"/>
              <w:right w:val="nil"/>
            </w:tcBorders>
            <w:shd w:val="clear" w:color="auto" w:fill="auto"/>
          </w:tcPr>
          <w:p w14:paraId="75A5BF09" w14:textId="77777777" w:rsidR="00407F0A" w:rsidRPr="00871301" w:rsidRDefault="00407F0A" w:rsidP="000B6FB4">
            <w:pPr>
              <w:pStyle w:val="Tabletext"/>
            </w:pPr>
            <w:r w:rsidRPr="00871301">
              <w:t>10 &lt;</w:t>
            </w:r>
            <w:r>
              <w:t xml:space="preserve"> </w:t>
            </w:r>
            <w:r w:rsidRPr="00871301">
              <w:t>= x &lt; 15</w:t>
            </w:r>
          </w:p>
        </w:tc>
        <w:tc>
          <w:tcPr>
            <w:tcW w:w="1843" w:type="dxa"/>
            <w:tcBorders>
              <w:top w:val="nil"/>
              <w:left w:val="nil"/>
              <w:bottom w:val="nil"/>
              <w:right w:val="nil"/>
            </w:tcBorders>
            <w:shd w:val="clear" w:color="auto" w:fill="auto"/>
          </w:tcPr>
          <w:p w14:paraId="729EB713" w14:textId="77777777" w:rsidR="00407F0A" w:rsidRPr="00807091" w:rsidRDefault="00407F0A" w:rsidP="000B6FB4">
            <w:pPr>
              <w:pStyle w:val="Tabletext"/>
              <w:tabs>
                <w:tab w:val="decimal" w:pos="879"/>
              </w:tabs>
            </w:pPr>
            <w:r w:rsidRPr="00807091">
              <w:t>72.1*</w:t>
            </w:r>
          </w:p>
        </w:tc>
        <w:tc>
          <w:tcPr>
            <w:tcW w:w="1984" w:type="dxa"/>
            <w:tcBorders>
              <w:top w:val="nil"/>
              <w:left w:val="nil"/>
              <w:bottom w:val="nil"/>
              <w:right w:val="nil"/>
            </w:tcBorders>
            <w:shd w:val="clear" w:color="auto" w:fill="auto"/>
          </w:tcPr>
          <w:p w14:paraId="4DE24904" w14:textId="77777777" w:rsidR="00407F0A" w:rsidRPr="00807091" w:rsidRDefault="00407F0A" w:rsidP="000B6FB4">
            <w:pPr>
              <w:pStyle w:val="Tabletext"/>
              <w:tabs>
                <w:tab w:val="decimal" w:pos="851"/>
              </w:tabs>
            </w:pPr>
            <w:r w:rsidRPr="00807091">
              <w:t>-3.4</w:t>
            </w:r>
          </w:p>
        </w:tc>
        <w:tc>
          <w:tcPr>
            <w:tcW w:w="1985" w:type="dxa"/>
            <w:tcBorders>
              <w:top w:val="nil"/>
              <w:left w:val="nil"/>
              <w:bottom w:val="nil"/>
              <w:right w:val="nil"/>
            </w:tcBorders>
            <w:shd w:val="clear" w:color="auto" w:fill="auto"/>
          </w:tcPr>
          <w:p w14:paraId="7D17F4B1" w14:textId="77777777" w:rsidR="00407F0A" w:rsidRPr="00871301" w:rsidRDefault="00407F0A" w:rsidP="000B6FB4">
            <w:pPr>
              <w:pStyle w:val="Tabletext"/>
              <w:tabs>
                <w:tab w:val="decimal" w:pos="709"/>
              </w:tabs>
            </w:pPr>
            <w:r w:rsidRPr="00871301">
              <w:t>(70.0, 74.1)</w:t>
            </w:r>
          </w:p>
        </w:tc>
      </w:tr>
      <w:tr w:rsidR="00407F0A" w:rsidRPr="00871301" w14:paraId="193BDEE6" w14:textId="77777777" w:rsidTr="00D40137">
        <w:tc>
          <w:tcPr>
            <w:tcW w:w="1735" w:type="dxa"/>
            <w:tcBorders>
              <w:top w:val="nil"/>
              <w:left w:val="nil"/>
              <w:bottom w:val="nil"/>
              <w:right w:val="nil"/>
            </w:tcBorders>
            <w:shd w:val="clear" w:color="auto" w:fill="auto"/>
          </w:tcPr>
          <w:p w14:paraId="49B70429" w14:textId="77777777" w:rsidR="00407F0A" w:rsidRPr="00871301" w:rsidRDefault="00407F0A" w:rsidP="000B6FB4">
            <w:pPr>
              <w:pStyle w:val="Tabletext"/>
            </w:pPr>
            <w:r w:rsidRPr="00871301">
              <w:t>15 &lt;</w:t>
            </w:r>
            <w:r>
              <w:t xml:space="preserve"> </w:t>
            </w:r>
            <w:r w:rsidRPr="00871301">
              <w:t>= x &lt; 20</w:t>
            </w:r>
          </w:p>
        </w:tc>
        <w:tc>
          <w:tcPr>
            <w:tcW w:w="1843" w:type="dxa"/>
            <w:tcBorders>
              <w:top w:val="nil"/>
              <w:left w:val="nil"/>
              <w:bottom w:val="nil"/>
              <w:right w:val="nil"/>
            </w:tcBorders>
            <w:shd w:val="clear" w:color="auto" w:fill="auto"/>
          </w:tcPr>
          <w:p w14:paraId="0D276314" w14:textId="77777777" w:rsidR="00407F0A" w:rsidRPr="00807091" w:rsidRDefault="00407F0A" w:rsidP="000B6FB4">
            <w:pPr>
              <w:pStyle w:val="Tabletext"/>
              <w:tabs>
                <w:tab w:val="decimal" w:pos="879"/>
              </w:tabs>
            </w:pPr>
            <w:r w:rsidRPr="00807091">
              <w:t>73.8^</w:t>
            </w:r>
          </w:p>
        </w:tc>
        <w:tc>
          <w:tcPr>
            <w:tcW w:w="1984" w:type="dxa"/>
            <w:tcBorders>
              <w:top w:val="nil"/>
              <w:left w:val="nil"/>
              <w:bottom w:val="nil"/>
              <w:right w:val="nil"/>
            </w:tcBorders>
            <w:shd w:val="clear" w:color="auto" w:fill="auto"/>
          </w:tcPr>
          <w:p w14:paraId="3B10A300" w14:textId="77777777" w:rsidR="00407F0A" w:rsidRPr="00807091" w:rsidRDefault="00407F0A" w:rsidP="000B6FB4">
            <w:pPr>
              <w:pStyle w:val="Tabletext"/>
              <w:tabs>
                <w:tab w:val="decimal" w:pos="851"/>
              </w:tabs>
            </w:pPr>
            <w:r w:rsidRPr="00807091">
              <w:t>-1.7</w:t>
            </w:r>
          </w:p>
        </w:tc>
        <w:tc>
          <w:tcPr>
            <w:tcW w:w="1985" w:type="dxa"/>
            <w:tcBorders>
              <w:top w:val="nil"/>
              <w:left w:val="nil"/>
              <w:bottom w:val="nil"/>
              <w:right w:val="nil"/>
            </w:tcBorders>
            <w:shd w:val="clear" w:color="auto" w:fill="auto"/>
          </w:tcPr>
          <w:p w14:paraId="0849FB57" w14:textId="77777777" w:rsidR="00407F0A" w:rsidRPr="00871301" w:rsidRDefault="00407F0A" w:rsidP="000B6FB4">
            <w:pPr>
              <w:pStyle w:val="Tabletext"/>
              <w:tabs>
                <w:tab w:val="decimal" w:pos="709"/>
              </w:tabs>
            </w:pPr>
            <w:r w:rsidRPr="00871301">
              <w:t>(70.1, 76.9)</w:t>
            </w:r>
          </w:p>
        </w:tc>
      </w:tr>
      <w:tr w:rsidR="00407F0A" w:rsidRPr="00871301" w14:paraId="402CF0FD" w14:textId="77777777" w:rsidTr="00D40137">
        <w:tc>
          <w:tcPr>
            <w:tcW w:w="1735" w:type="dxa"/>
            <w:tcBorders>
              <w:top w:val="nil"/>
              <w:left w:val="nil"/>
              <w:bottom w:val="single" w:sz="4" w:space="0" w:color="auto"/>
              <w:right w:val="nil"/>
            </w:tcBorders>
            <w:shd w:val="clear" w:color="auto" w:fill="auto"/>
          </w:tcPr>
          <w:p w14:paraId="28E2CA10" w14:textId="77777777" w:rsidR="00407F0A" w:rsidRPr="00871301" w:rsidRDefault="00407F0A" w:rsidP="000B6FB4">
            <w:pPr>
              <w:pStyle w:val="Tabletext"/>
            </w:pPr>
            <w:r w:rsidRPr="00871301">
              <w:t>X &gt;</w:t>
            </w:r>
            <w:r>
              <w:t xml:space="preserve"> </w:t>
            </w:r>
            <w:r w:rsidRPr="00871301">
              <w:t>= 20</w:t>
            </w:r>
          </w:p>
        </w:tc>
        <w:tc>
          <w:tcPr>
            <w:tcW w:w="1843" w:type="dxa"/>
            <w:tcBorders>
              <w:top w:val="nil"/>
              <w:left w:val="nil"/>
              <w:bottom w:val="single" w:sz="4" w:space="0" w:color="auto"/>
              <w:right w:val="nil"/>
            </w:tcBorders>
            <w:shd w:val="clear" w:color="auto" w:fill="auto"/>
          </w:tcPr>
          <w:p w14:paraId="1F6E9D9C" w14:textId="77777777" w:rsidR="00407F0A" w:rsidRPr="00807091" w:rsidRDefault="00407F0A" w:rsidP="000B6FB4">
            <w:pPr>
              <w:pStyle w:val="Tabletext"/>
              <w:tabs>
                <w:tab w:val="decimal" w:pos="879"/>
              </w:tabs>
            </w:pPr>
            <w:r w:rsidRPr="00807091">
              <w:t>70.0*</w:t>
            </w:r>
          </w:p>
        </w:tc>
        <w:tc>
          <w:tcPr>
            <w:tcW w:w="1984" w:type="dxa"/>
            <w:tcBorders>
              <w:top w:val="nil"/>
              <w:left w:val="nil"/>
              <w:bottom w:val="single" w:sz="4" w:space="0" w:color="auto"/>
              <w:right w:val="nil"/>
            </w:tcBorders>
            <w:shd w:val="clear" w:color="auto" w:fill="auto"/>
          </w:tcPr>
          <w:p w14:paraId="71A11C52" w14:textId="77777777" w:rsidR="00407F0A" w:rsidRPr="00807091" w:rsidRDefault="00407F0A" w:rsidP="000B6FB4">
            <w:pPr>
              <w:pStyle w:val="Tabletext"/>
              <w:tabs>
                <w:tab w:val="decimal" w:pos="851"/>
              </w:tabs>
            </w:pPr>
            <w:r w:rsidRPr="00807091">
              <w:t>-5.5</w:t>
            </w:r>
          </w:p>
        </w:tc>
        <w:tc>
          <w:tcPr>
            <w:tcW w:w="1985" w:type="dxa"/>
            <w:tcBorders>
              <w:top w:val="nil"/>
              <w:left w:val="nil"/>
              <w:bottom w:val="single" w:sz="4" w:space="0" w:color="auto"/>
              <w:right w:val="nil"/>
            </w:tcBorders>
            <w:shd w:val="clear" w:color="auto" w:fill="auto"/>
          </w:tcPr>
          <w:p w14:paraId="4CC86DE6" w14:textId="77777777" w:rsidR="00407F0A" w:rsidRPr="00871301" w:rsidRDefault="00407F0A" w:rsidP="000B6FB4">
            <w:pPr>
              <w:pStyle w:val="Tabletext"/>
              <w:tabs>
                <w:tab w:val="decimal" w:pos="709"/>
              </w:tabs>
            </w:pPr>
            <w:r w:rsidRPr="00871301">
              <w:t>(67.1, 73.0)</w:t>
            </w:r>
          </w:p>
        </w:tc>
      </w:tr>
    </w:tbl>
    <w:p w14:paraId="1725EAFC" w14:textId="77777777" w:rsidR="00407F0A" w:rsidRPr="001E0B01" w:rsidRDefault="00407F0A" w:rsidP="00407F0A">
      <w:pPr>
        <w:pStyle w:val="Source"/>
      </w:pPr>
      <w:r>
        <w:t>Notes:</w:t>
      </w:r>
      <w:r>
        <w:tab/>
      </w:r>
      <w:r w:rsidRPr="001E0B01">
        <w:t>* significantly different from not working</w:t>
      </w:r>
      <w:r>
        <w:t>.</w:t>
      </w:r>
      <w:r>
        <w:br/>
      </w:r>
      <w:r w:rsidRPr="00F861DB">
        <w:t xml:space="preserve">^ the lack of statistical significance is due to sample size and variation in TER scores. </w:t>
      </w:r>
    </w:p>
    <w:p w14:paraId="24B48D8E" w14:textId="23408660" w:rsidR="00407F0A" w:rsidRDefault="00407F0A" w:rsidP="00303DC5">
      <w:pPr>
        <w:pStyle w:val="Text"/>
      </w:pPr>
      <w:r w:rsidRPr="00303DC5">
        <w:rPr>
          <w:rStyle w:val="TextChar"/>
        </w:rPr>
        <w:t xml:space="preserve">Working a small number of hours </w:t>
      </w:r>
      <w:r w:rsidR="0095794C">
        <w:rPr>
          <w:rStyle w:val="TextChar"/>
        </w:rPr>
        <w:t>(</w:t>
      </w:r>
      <w:r w:rsidRPr="00303DC5">
        <w:rPr>
          <w:rStyle w:val="TextChar"/>
        </w:rPr>
        <w:t>fewer than five) has no detrimental effect on Year 12 achievement for males but working longer than five hours can reduce a respondent</w:t>
      </w:r>
      <w:r w:rsidR="0095794C">
        <w:rPr>
          <w:rStyle w:val="TextChar"/>
        </w:rPr>
        <w:t>’</w:t>
      </w:r>
      <w:r w:rsidRPr="00303DC5">
        <w:rPr>
          <w:rStyle w:val="TextChar"/>
        </w:rPr>
        <w:t>s TER score. The difference between not working and working for more than 20 hours a week for males is on average a reduction of -5.5 TER points</w:t>
      </w:r>
      <w:r>
        <w:t>.</w:t>
      </w:r>
    </w:p>
    <w:p w14:paraId="3DA7496B" w14:textId="3147B7F5" w:rsidR="00407F0A" w:rsidRPr="00C836B8" w:rsidRDefault="00407F0A" w:rsidP="00407F0A">
      <w:pPr>
        <w:pStyle w:val="tabletitle0"/>
        <w:rPr>
          <w:sz w:val="16"/>
          <w:szCs w:val="16"/>
        </w:rPr>
      </w:pPr>
      <w:bookmarkStart w:id="282" w:name="_Ref225331500"/>
      <w:bookmarkStart w:id="283" w:name="_Toc297729173"/>
      <w:bookmarkStart w:id="284" w:name="_Toc19001684"/>
      <w:r>
        <w:t>Table</w:t>
      </w:r>
      <w:r w:rsidRPr="001C7B79">
        <w:t xml:space="preserve"> </w:t>
      </w:r>
      <w:bookmarkEnd w:id="282"/>
      <w:r w:rsidR="00AB293C">
        <w:t>27</w:t>
      </w:r>
      <w:r>
        <w:tab/>
      </w:r>
      <w:r w:rsidRPr="001C7B79">
        <w:t xml:space="preserve">Mean TER </w:t>
      </w:r>
      <w:r>
        <w:t>s</w:t>
      </w:r>
      <w:r w:rsidRPr="001C7B79">
        <w:t>co</w:t>
      </w:r>
      <w:r>
        <w:t>res by hours worked in Year 12,</w:t>
      </w:r>
      <w:r w:rsidRPr="001C7B79">
        <w:t xml:space="preserve"> females</w:t>
      </w:r>
      <w:bookmarkEnd w:id="283"/>
      <w:bookmarkEnd w:id="284"/>
    </w:p>
    <w:tbl>
      <w:tblPr>
        <w:tblW w:w="7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3"/>
        <w:gridCol w:w="1843"/>
        <w:gridCol w:w="2126"/>
        <w:gridCol w:w="2127"/>
      </w:tblGrid>
      <w:tr w:rsidR="00407F0A" w:rsidRPr="00871301" w14:paraId="481B6427" w14:textId="77777777" w:rsidTr="00D40137">
        <w:tc>
          <w:tcPr>
            <w:tcW w:w="1593" w:type="dxa"/>
            <w:tcBorders>
              <w:top w:val="single" w:sz="4" w:space="0" w:color="auto"/>
              <w:left w:val="nil"/>
              <w:bottom w:val="single" w:sz="4" w:space="0" w:color="auto"/>
              <w:right w:val="nil"/>
            </w:tcBorders>
            <w:shd w:val="clear" w:color="auto" w:fill="auto"/>
          </w:tcPr>
          <w:p w14:paraId="55B856A0" w14:textId="77777777" w:rsidR="00407F0A" w:rsidRPr="00871301" w:rsidRDefault="00407F0A" w:rsidP="000B6FB4">
            <w:pPr>
              <w:pStyle w:val="Tablehead1"/>
            </w:pPr>
            <w:r>
              <w:t>Hours w</w:t>
            </w:r>
            <w:r w:rsidRPr="00871301">
              <w:t>orked</w:t>
            </w:r>
          </w:p>
        </w:tc>
        <w:tc>
          <w:tcPr>
            <w:tcW w:w="1843" w:type="dxa"/>
            <w:tcBorders>
              <w:top w:val="single" w:sz="4" w:space="0" w:color="auto"/>
              <w:left w:val="nil"/>
              <w:bottom w:val="single" w:sz="4" w:space="0" w:color="auto"/>
              <w:right w:val="nil"/>
            </w:tcBorders>
            <w:shd w:val="clear" w:color="auto" w:fill="auto"/>
          </w:tcPr>
          <w:p w14:paraId="1BE02047" w14:textId="77777777" w:rsidR="00407F0A" w:rsidRPr="00871301" w:rsidRDefault="00407F0A" w:rsidP="000B6FB4">
            <w:pPr>
              <w:pStyle w:val="Tablehead1"/>
              <w:jc w:val="center"/>
            </w:pPr>
            <w:r w:rsidRPr="00871301">
              <w:t>Mean TER</w:t>
            </w:r>
          </w:p>
        </w:tc>
        <w:tc>
          <w:tcPr>
            <w:tcW w:w="2126" w:type="dxa"/>
            <w:tcBorders>
              <w:top w:val="single" w:sz="4" w:space="0" w:color="auto"/>
              <w:left w:val="nil"/>
              <w:bottom w:val="single" w:sz="4" w:space="0" w:color="auto"/>
              <w:right w:val="nil"/>
            </w:tcBorders>
            <w:shd w:val="clear" w:color="auto" w:fill="auto"/>
          </w:tcPr>
          <w:p w14:paraId="004309B5" w14:textId="77777777" w:rsidR="00407F0A" w:rsidRPr="00871301" w:rsidRDefault="00407F0A" w:rsidP="000B6FB4">
            <w:pPr>
              <w:pStyle w:val="Tablehead1"/>
              <w:jc w:val="center"/>
            </w:pPr>
            <w:r>
              <w:t>Difference from not w</w:t>
            </w:r>
            <w:r w:rsidRPr="00871301">
              <w:t>orking</w:t>
            </w:r>
          </w:p>
        </w:tc>
        <w:tc>
          <w:tcPr>
            <w:tcW w:w="2127" w:type="dxa"/>
            <w:tcBorders>
              <w:top w:val="single" w:sz="4" w:space="0" w:color="auto"/>
              <w:left w:val="nil"/>
              <w:bottom w:val="single" w:sz="4" w:space="0" w:color="auto"/>
              <w:right w:val="nil"/>
            </w:tcBorders>
            <w:shd w:val="clear" w:color="auto" w:fill="auto"/>
          </w:tcPr>
          <w:p w14:paraId="26D803ED" w14:textId="77777777" w:rsidR="00407F0A" w:rsidRPr="00871301" w:rsidRDefault="00407F0A" w:rsidP="000B6FB4">
            <w:pPr>
              <w:pStyle w:val="Tablehead1"/>
              <w:jc w:val="center"/>
            </w:pPr>
            <w:r>
              <w:t>95% c</w:t>
            </w:r>
            <w:r w:rsidRPr="00871301">
              <w:t>onfidence Interval</w:t>
            </w:r>
          </w:p>
        </w:tc>
      </w:tr>
      <w:tr w:rsidR="00407F0A" w:rsidRPr="00871301" w14:paraId="52EE72FF" w14:textId="77777777" w:rsidTr="00D40137">
        <w:tc>
          <w:tcPr>
            <w:tcW w:w="1593" w:type="dxa"/>
            <w:tcBorders>
              <w:top w:val="single" w:sz="4" w:space="0" w:color="auto"/>
              <w:left w:val="nil"/>
              <w:bottom w:val="nil"/>
              <w:right w:val="nil"/>
            </w:tcBorders>
            <w:shd w:val="clear" w:color="auto" w:fill="auto"/>
          </w:tcPr>
          <w:p w14:paraId="5DDE1837" w14:textId="77777777" w:rsidR="00407F0A" w:rsidRPr="00871301" w:rsidRDefault="00407F0A" w:rsidP="000B6FB4">
            <w:pPr>
              <w:pStyle w:val="Tabletext"/>
            </w:pPr>
            <w:r w:rsidRPr="00871301">
              <w:t>Not working</w:t>
            </w:r>
          </w:p>
        </w:tc>
        <w:tc>
          <w:tcPr>
            <w:tcW w:w="1843" w:type="dxa"/>
            <w:tcBorders>
              <w:top w:val="single" w:sz="4" w:space="0" w:color="auto"/>
              <w:left w:val="nil"/>
              <w:bottom w:val="nil"/>
              <w:right w:val="nil"/>
            </w:tcBorders>
            <w:shd w:val="clear" w:color="auto" w:fill="auto"/>
          </w:tcPr>
          <w:p w14:paraId="2C53CCF9" w14:textId="77777777" w:rsidR="00407F0A" w:rsidRPr="00871301" w:rsidRDefault="00407F0A" w:rsidP="000B6FB4">
            <w:pPr>
              <w:pStyle w:val="Tabletext"/>
              <w:tabs>
                <w:tab w:val="decimal" w:pos="879"/>
              </w:tabs>
            </w:pPr>
            <w:r w:rsidRPr="00871301">
              <w:t>78.1</w:t>
            </w:r>
          </w:p>
        </w:tc>
        <w:tc>
          <w:tcPr>
            <w:tcW w:w="2126" w:type="dxa"/>
            <w:tcBorders>
              <w:top w:val="single" w:sz="4" w:space="0" w:color="auto"/>
              <w:left w:val="nil"/>
              <w:bottom w:val="nil"/>
              <w:right w:val="nil"/>
            </w:tcBorders>
            <w:shd w:val="clear" w:color="auto" w:fill="auto"/>
          </w:tcPr>
          <w:p w14:paraId="25EB41E1" w14:textId="77777777" w:rsidR="00407F0A" w:rsidRPr="00871301" w:rsidRDefault="00407F0A" w:rsidP="000B6FB4">
            <w:pPr>
              <w:pStyle w:val="Tabletext"/>
              <w:tabs>
                <w:tab w:val="decimal" w:pos="879"/>
              </w:tabs>
            </w:pPr>
            <w:r w:rsidRPr="00871301">
              <w:t>-</w:t>
            </w:r>
          </w:p>
        </w:tc>
        <w:tc>
          <w:tcPr>
            <w:tcW w:w="2127" w:type="dxa"/>
            <w:tcBorders>
              <w:top w:val="single" w:sz="4" w:space="0" w:color="auto"/>
              <w:left w:val="nil"/>
              <w:bottom w:val="nil"/>
              <w:right w:val="nil"/>
            </w:tcBorders>
            <w:shd w:val="clear" w:color="auto" w:fill="auto"/>
          </w:tcPr>
          <w:p w14:paraId="4D4B0AE9" w14:textId="77777777" w:rsidR="00407F0A" w:rsidRPr="00871301" w:rsidRDefault="00407F0A" w:rsidP="000B6FB4">
            <w:pPr>
              <w:pStyle w:val="Tabletext"/>
              <w:tabs>
                <w:tab w:val="decimal" w:pos="709"/>
              </w:tabs>
            </w:pPr>
            <w:r w:rsidRPr="00871301">
              <w:t>(77.1, 79.1)</w:t>
            </w:r>
          </w:p>
        </w:tc>
      </w:tr>
      <w:tr w:rsidR="00407F0A" w:rsidRPr="00871301" w14:paraId="16518B2E" w14:textId="77777777" w:rsidTr="00D40137">
        <w:tc>
          <w:tcPr>
            <w:tcW w:w="1593" w:type="dxa"/>
            <w:tcBorders>
              <w:top w:val="nil"/>
              <w:left w:val="nil"/>
              <w:bottom w:val="nil"/>
              <w:right w:val="nil"/>
            </w:tcBorders>
            <w:shd w:val="clear" w:color="auto" w:fill="auto"/>
          </w:tcPr>
          <w:p w14:paraId="20BE7F20" w14:textId="77777777" w:rsidR="00407F0A" w:rsidRPr="00871301" w:rsidRDefault="00407F0A" w:rsidP="000B6FB4">
            <w:pPr>
              <w:pStyle w:val="Tabletext"/>
            </w:pPr>
            <w:r w:rsidRPr="00871301">
              <w:t>0 &lt; x &lt; 5</w:t>
            </w:r>
          </w:p>
        </w:tc>
        <w:tc>
          <w:tcPr>
            <w:tcW w:w="1843" w:type="dxa"/>
            <w:tcBorders>
              <w:top w:val="nil"/>
              <w:left w:val="nil"/>
              <w:bottom w:val="nil"/>
              <w:right w:val="nil"/>
            </w:tcBorders>
            <w:shd w:val="clear" w:color="auto" w:fill="auto"/>
          </w:tcPr>
          <w:p w14:paraId="471FA3F9" w14:textId="77777777" w:rsidR="00407F0A" w:rsidRPr="00871301" w:rsidRDefault="00407F0A" w:rsidP="000B6FB4">
            <w:pPr>
              <w:pStyle w:val="Tabletext"/>
              <w:tabs>
                <w:tab w:val="decimal" w:pos="879"/>
              </w:tabs>
            </w:pPr>
            <w:r w:rsidRPr="00871301">
              <w:t>78.5</w:t>
            </w:r>
          </w:p>
        </w:tc>
        <w:tc>
          <w:tcPr>
            <w:tcW w:w="2126" w:type="dxa"/>
            <w:tcBorders>
              <w:top w:val="nil"/>
              <w:left w:val="nil"/>
              <w:bottom w:val="nil"/>
              <w:right w:val="nil"/>
            </w:tcBorders>
            <w:shd w:val="clear" w:color="auto" w:fill="auto"/>
          </w:tcPr>
          <w:p w14:paraId="23E26DE3" w14:textId="77777777" w:rsidR="00407F0A" w:rsidRPr="00871301" w:rsidRDefault="00407F0A" w:rsidP="000B6FB4">
            <w:pPr>
              <w:pStyle w:val="Tabletext"/>
              <w:tabs>
                <w:tab w:val="decimal" w:pos="879"/>
              </w:tabs>
            </w:pPr>
            <w:r w:rsidRPr="00871301">
              <w:t>+0.4</w:t>
            </w:r>
          </w:p>
        </w:tc>
        <w:tc>
          <w:tcPr>
            <w:tcW w:w="2127" w:type="dxa"/>
            <w:tcBorders>
              <w:top w:val="nil"/>
              <w:left w:val="nil"/>
              <w:bottom w:val="nil"/>
              <w:right w:val="nil"/>
            </w:tcBorders>
            <w:shd w:val="clear" w:color="auto" w:fill="auto"/>
          </w:tcPr>
          <w:p w14:paraId="409E5C8E" w14:textId="77777777" w:rsidR="00407F0A" w:rsidRPr="00871301" w:rsidRDefault="00407F0A" w:rsidP="000B6FB4">
            <w:pPr>
              <w:pStyle w:val="Tabletext"/>
              <w:tabs>
                <w:tab w:val="decimal" w:pos="709"/>
              </w:tabs>
            </w:pPr>
            <w:r w:rsidRPr="00871301">
              <w:t>(76.3, 80.7)</w:t>
            </w:r>
          </w:p>
        </w:tc>
      </w:tr>
      <w:tr w:rsidR="00407F0A" w:rsidRPr="00871301" w14:paraId="3BD217B9" w14:textId="77777777" w:rsidTr="00D40137">
        <w:tc>
          <w:tcPr>
            <w:tcW w:w="1593" w:type="dxa"/>
            <w:tcBorders>
              <w:top w:val="nil"/>
              <w:left w:val="nil"/>
              <w:bottom w:val="nil"/>
              <w:right w:val="nil"/>
            </w:tcBorders>
            <w:shd w:val="clear" w:color="auto" w:fill="auto"/>
          </w:tcPr>
          <w:p w14:paraId="51552426" w14:textId="77777777" w:rsidR="00407F0A" w:rsidRPr="00871301" w:rsidRDefault="00407F0A" w:rsidP="000B6FB4">
            <w:pPr>
              <w:pStyle w:val="Tabletext"/>
            </w:pPr>
            <w:r w:rsidRPr="00871301">
              <w:t>5 &lt; = x &lt; 10</w:t>
            </w:r>
          </w:p>
        </w:tc>
        <w:tc>
          <w:tcPr>
            <w:tcW w:w="1843" w:type="dxa"/>
            <w:tcBorders>
              <w:top w:val="nil"/>
              <w:left w:val="nil"/>
              <w:bottom w:val="nil"/>
              <w:right w:val="nil"/>
            </w:tcBorders>
            <w:shd w:val="clear" w:color="auto" w:fill="auto"/>
          </w:tcPr>
          <w:p w14:paraId="4A58A7BC" w14:textId="77777777" w:rsidR="00407F0A" w:rsidRPr="00871301" w:rsidRDefault="00407F0A" w:rsidP="000B6FB4">
            <w:pPr>
              <w:pStyle w:val="Tabletext"/>
              <w:tabs>
                <w:tab w:val="decimal" w:pos="879"/>
              </w:tabs>
            </w:pPr>
            <w:r w:rsidRPr="00871301">
              <w:t>77.9</w:t>
            </w:r>
          </w:p>
        </w:tc>
        <w:tc>
          <w:tcPr>
            <w:tcW w:w="2126" w:type="dxa"/>
            <w:tcBorders>
              <w:top w:val="nil"/>
              <w:left w:val="nil"/>
              <w:bottom w:val="nil"/>
              <w:right w:val="nil"/>
            </w:tcBorders>
            <w:shd w:val="clear" w:color="auto" w:fill="auto"/>
          </w:tcPr>
          <w:p w14:paraId="4627C0A5" w14:textId="77777777" w:rsidR="00407F0A" w:rsidRPr="00871301" w:rsidRDefault="00407F0A" w:rsidP="000B6FB4">
            <w:pPr>
              <w:pStyle w:val="Tabletext"/>
              <w:tabs>
                <w:tab w:val="decimal" w:pos="879"/>
              </w:tabs>
            </w:pPr>
            <w:r w:rsidRPr="00871301">
              <w:t>-0.2</w:t>
            </w:r>
          </w:p>
        </w:tc>
        <w:tc>
          <w:tcPr>
            <w:tcW w:w="2127" w:type="dxa"/>
            <w:tcBorders>
              <w:top w:val="nil"/>
              <w:left w:val="nil"/>
              <w:bottom w:val="nil"/>
              <w:right w:val="nil"/>
            </w:tcBorders>
            <w:shd w:val="clear" w:color="auto" w:fill="auto"/>
          </w:tcPr>
          <w:p w14:paraId="7E16629D" w14:textId="77777777" w:rsidR="00407F0A" w:rsidRPr="00871301" w:rsidRDefault="00407F0A" w:rsidP="000B6FB4">
            <w:pPr>
              <w:pStyle w:val="Tabletext"/>
              <w:tabs>
                <w:tab w:val="decimal" w:pos="709"/>
              </w:tabs>
            </w:pPr>
            <w:r w:rsidRPr="00871301">
              <w:t>(76.6, 79.3)</w:t>
            </w:r>
          </w:p>
        </w:tc>
      </w:tr>
      <w:tr w:rsidR="00407F0A" w:rsidRPr="00871301" w14:paraId="3908555C" w14:textId="77777777" w:rsidTr="00D40137">
        <w:tc>
          <w:tcPr>
            <w:tcW w:w="1593" w:type="dxa"/>
            <w:tcBorders>
              <w:top w:val="nil"/>
              <w:left w:val="nil"/>
              <w:bottom w:val="nil"/>
              <w:right w:val="nil"/>
            </w:tcBorders>
            <w:shd w:val="clear" w:color="auto" w:fill="auto"/>
          </w:tcPr>
          <w:p w14:paraId="05E4E343" w14:textId="77777777" w:rsidR="00407F0A" w:rsidRPr="00871301" w:rsidRDefault="00407F0A" w:rsidP="000B6FB4">
            <w:pPr>
              <w:pStyle w:val="Tabletext"/>
            </w:pPr>
            <w:r w:rsidRPr="00871301">
              <w:t>10 &lt;= x &lt; 15</w:t>
            </w:r>
          </w:p>
        </w:tc>
        <w:tc>
          <w:tcPr>
            <w:tcW w:w="1843" w:type="dxa"/>
            <w:tcBorders>
              <w:top w:val="nil"/>
              <w:left w:val="nil"/>
              <w:bottom w:val="nil"/>
              <w:right w:val="nil"/>
            </w:tcBorders>
            <w:shd w:val="clear" w:color="auto" w:fill="auto"/>
          </w:tcPr>
          <w:p w14:paraId="38EF26A8" w14:textId="77777777" w:rsidR="00407F0A" w:rsidRPr="00807091" w:rsidRDefault="00407F0A" w:rsidP="000B6FB4">
            <w:pPr>
              <w:pStyle w:val="Tabletext"/>
              <w:tabs>
                <w:tab w:val="decimal" w:pos="879"/>
              </w:tabs>
            </w:pPr>
            <w:r w:rsidRPr="00807091">
              <w:t>73.8*</w:t>
            </w:r>
          </w:p>
        </w:tc>
        <w:tc>
          <w:tcPr>
            <w:tcW w:w="2126" w:type="dxa"/>
            <w:tcBorders>
              <w:top w:val="nil"/>
              <w:left w:val="nil"/>
              <w:bottom w:val="nil"/>
              <w:right w:val="nil"/>
            </w:tcBorders>
            <w:shd w:val="clear" w:color="auto" w:fill="auto"/>
          </w:tcPr>
          <w:p w14:paraId="49AAC00A" w14:textId="77777777" w:rsidR="00407F0A" w:rsidRPr="00807091" w:rsidRDefault="00407F0A" w:rsidP="000B6FB4">
            <w:pPr>
              <w:pStyle w:val="Tabletext"/>
              <w:tabs>
                <w:tab w:val="decimal" w:pos="879"/>
              </w:tabs>
            </w:pPr>
            <w:r w:rsidRPr="00807091">
              <w:t>-4.3</w:t>
            </w:r>
          </w:p>
        </w:tc>
        <w:tc>
          <w:tcPr>
            <w:tcW w:w="2127" w:type="dxa"/>
            <w:tcBorders>
              <w:top w:val="nil"/>
              <w:left w:val="nil"/>
              <w:bottom w:val="nil"/>
              <w:right w:val="nil"/>
            </w:tcBorders>
            <w:shd w:val="clear" w:color="auto" w:fill="auto"/>
          </w:tcPr>
          <w:p w14:paraId="369624A3" w14:textId="77777777" w:rsidR="00407F0A" w:rsidRPr="00871301" w:rsidRDefault="00407F0A" w:rsidP="000B6FB4">
            <w:pPr>
              <w:pStyle w:val="Tabletext"/>
              <w:tabs>
                <w:tab w:val="decimal" w:pos="709"/>
              </w:tabs>
            </w:pPr>
            <w:r w:rsidRPr="00871301">
              <w:t>(72.1, 75.4)</w:t>
            </w:r>
          </w:p>
        </w:tc>
      </w:tr>
      <w:tr w:rsidR="00407F0A" w:rsidRPr="00871301" w14:paraId="401EAC14" w14:textId="77777777" w:rsidTr="00D40137">
        <w:tc>
          <w:tcPr>
            <w:tcW w:w="1593" w:type="dxa"/>
            <w:tcBorders>
              <w:top w:val="nil"/>
              <w:left w:val="nil"/>
              <w:bottom w:val="nil"/>
              <w:right w:val="nil"/>
            </w:tcBorders>
            <w:shd w:val="clear" w:color="auto" w:fill="auto"/>
          </w:tcPr>
          <w:p w14:paraId="0FBF8397" w14:textId="77777777" w:rsidR="00407F0A" w:rsidRPr="00871301" w:rsidRDefault="00407F0A" w:rsidP="000B6FB4">
            <w:pPr>
              <w:pStyle w:val="Tabletext"/>
            </w:pPr>
            <w:r w:rsidRPr="00871301">
              <w:t>15 &lt;= x &lt; 20</w:t>
            </w:r>
          </w:p>
        </w:tc>
        <w:tc>
          <w:tcPr>
            <w:tcW w:w="1843" w:type="dxa"/>
            <w:tcBorders>
              <w:top w:val="nil"/>
              <w:left w:val="nil"/>
              <w:bottom w:val="nil"/>
              <w:right w:val="nil"/>
            </w:tcBorders>
            <w:shd w:val="clear" w:color="auto" w:fill="auto"/>
          </w:tcPr>
          <w:p w14:paraId="4127F12D" w14:textId="77777777" w:rsidR="00407F0A" w:rsidRPr="00807091" w:rsidRDefault="00407F0A" w:rsidP="000B6FB4">
            <w:pPr>
              <w:pStyle w:val="Tabletext"/>
              <w:tabs>
                <w:tab w:val="decimal" w:pos="879"/>
              </w:tabs>
            </w:pPr>
            <w:r w:rsidRPr="00807091">
              <w:t>72.8*</w:t>
            </w:r>
          </w:p>
        </w:tc>
        <w:tc>
          <w:tcPr>
            <w:tcW w:w="2126" w:type="dxa"/>
            <w:tcBorders>
              <w:top w:val="nil"/>
              <w:left w:val="nil"/>
              <w:bottom w:val="nil"/>
              <w:right w:val="nil"/>
            </w:tcBorders>
            <w:shd w:val="clear" w:color="auto" w:fill="auto"/>
          </w:tcPr>
          <w:p w14:paraId="345C2377" w14:textId="77777777" w:rsidR="00407F0A" w:rsidRPr="00807091" w:rsidRDefault="00407F0A" w:rsidP="000B6FB4">
            <w:pPr>
              <w:pStyle w:val="Tabletext"/>
              <w:tabs>
                <w:tab w:val="decimal" w:pos="879"/>
              </w:tabs>
            </w:pPr>
            <w:r w:rsidRPr="00807091">
              <w:t>-5.3</w:t>
            </w:r>
          </w:p>
        </w:tc>
        <w:tc>
          <w:tcPr>
            <w:tcW w:w="2127" w:type="dxa"/>
            <w:tcBorders>
              <w:top w:val="nil"/>
              <w:left w:val="nil"/>
              <w:bottom w:val="nil"/>
              <w:right w:val="nil"/>
            </w:tcBorders>
            <w:shd w:val="clear" w:color="auto" w:fill="auto"/>
          </w:tcPr>
          <w:p w14:paraId="4DC95715" w14:textId="77777777" w:rsidR="00407F0A" w:rsidRPr="00871301" w:rsidRDefault="00407F0A" w:rsidP="000B6FB4">
            <w:pPr>
              <w:pStyle w:val="Tabletext"/>
              <w:tabs>
                <w:tab w:val="decimal" w:pos="709"/>
              </w:tabs>
            </w:pPr>
            <w:r w:rsidRPr="00871301">
              <w:t>(70.2, 75.3)</w:t>
            </w:r>
          </w:p>
        </w:tc>
      </w:tr>
      <w:tr w:rsidR="00407F0A" w:rsidRPr="00871301" w14:paraId="1E908144" w14:textId="77777777" w:rsidTr="00D40137">
        <w:tc>
          <w:tcPr>
            <w:tcW w:w="1593" w:type="dxa"/>
            <w:tcBorders>
              <w:top w:val="nil"/>
              <w:left w:val="nil"/>
              <w:bottom w:val="single" w:sz="4" w:space="0" w:color="auto"/>
              <w:right w:val="nil"/>
            </w:tcBorders>
            <w:shd w:val="clear" w:color="auto" w:fill="auto"/>
          </w:tcPr>
          <w:p w14:paraId="73BC40DF" w14:textId="77777777" w:rsidR="00407F0A" w:rsidRPr="00871301" w:rsidRDefault="00407F0A" w:rsidP="000B6FB4">
            <w:pPr>
              <w:pStyle w:val="Tabletext"/>
            </w:pPr>
            <w:r w:rsidRPr="00871301">
              <w:t>X &gt;= 20</w:t>
            </w:r>
          </w:p>
        </w:tc>
        <w:tc>
          <w:tcPr>
            <w:tcW w:w="1843" w:type="dxa"/>
            <w:tcBorders>
              <w:top w:val="nil"/>
              <w:left w:val="nil"/>
              <w:bottom w:val="single" w:sz="4" w:space="0" w:color="auto"/>
              <w:right w:val="nil"/>
            </w:tcBorders>
            <w:shd w:val="clear" w:color="auto" w:fill="auto"/>
          </w:tcPr>
          <w:p w14:paraId="1811A167" w14:textId="77777777" w:rsidR="00407F0A" w:rsidRPr="00807091" w:rsidRDefault="00407F0A" w:rsidP="000B6FB4">
            <w:pPr>
              <w:pStyle w:val="Tabletext"/>
              <w:tabs>
                <w:tab w:val="decimal" w:pos="879"/>
              </w:tabs>
            </w:pPr>
            <w:r w:rsidRPr="00807091">
              <w:t>73.7</w:t>
            </w:r>
          </w:p>
        </w:tc>
        <w:tc>
          <w:tcPr>
            <w:tcW w:w="2126" w:type="dxa"/>
            <w:tcBorders>
              <w:top w:val="nil"/>
              <w:left w:val="nil"/>
              <w:bottom w:val="single" w:sz="4" w:space="0" w:color="auto"/>
              <w:right w:val="nil"/>
            </w:tcBorders>
            <w:shd w:val="clear" w:color="auto" w:fill="auto"/>
          </w:tcPr>
          <w:p w14:paraId="77699F97" w14:textId="77777777" w:rsidR="00407F0A" w:rsidRPr="00807091" w:rsidRDefault="00407F0A" w:rsidP="000B6FB4">
            <w:pPr>
              <w:pStyle w:val="Tabletext"/>
              <w:tabs>
                <w:tab w:val="decimal" w:pos="879"/>
              </w:tabs>
            </w:pPr>
            <w:r w:rsidRPr="00807091">
              <w:t>-4.4</w:t>
            </w:r>
          </w:p>
        </w:tc>
        <w:tc>
          <w:tcPr>
            <w:tcW w:w="2127" w:type="dxa"/>
            <w:tcBorders>
              <w:top w:val="nil"/>
              <w:left w:val="nil"/>
              <w:bottom w:val="single" w:sz="4" w:space="0" w:color="auto"/>
              <w:right w:val="nil"/>
            </w:tcBorders>
            <w:shd w:val="clear" w:color="auto" w:fill="auto"/>
          </w:tcPr>
          <w:p w14:paraId="2A1C6662" w14:textId="77777777" w:rsidR="00407F0A" w:rsidRPr="00871301" w:rsidRDefault="00407F0A" w:rsidP="000B6FB4">
            <w:pPr>
              <w:pStyle w:val="Tabletext"/>
              <w:tabs>
                <w:tab w:val="decimal" w:pos="709"/>
              </w:tabs>
            </w:pPr>
            <w:r w:rsidRPr="00871301">
              <w:t>(71.1, 76.5)</w:t>
            </w:r>
          </w:p>
        </w:tc>
      </w:tr>
    </w:tbl>
    <w:p w14:paraId="28BBC201" w14:textId="77777777" w:rsidR="00407F0A" w:rsidRDefault="00407F0A" w:rsidP="00407F0A">
      <w:pPr>
        <w:pStyle w:val="Source"/>
      </w:pPr>
      <w:r>
        <w:t>Notes:</w:t>
      </w:r>
      <w:r>
        <w:tab/>
      </w:r>
      <w:r w:rsidRPr="001E0B01">
        <w:t>* significantly different from not working</w:t>
      </w:r>
      <w:r>
        <w:t>.</w:t>
      </w:r>
      <w:r>
        <w:br/>
      </w:r>
      <w:r w:rsidRPr="00F861DB">
        <w:t xml:space="preserve">^ the lack of statistical significance is due to sample size and variation in TER scores. </w:t>
      </w:r>
    </w:p>
    <w:p w14:paraId="460E71F6" w14:textId="143E00A9" w:rsidR="00407F0A" w:rsidRDefault="00407F0A" w:rsidP="00303DC5">
      <w:pPr>
        <w:pStyle w:val="Text"/>
        <w:rPr>
          <w:lang w:eastAsia="en-AU"/>
        </w:rPr>
      </w:pPr>
      <w:r>
        <w:rPr>
          <w:lang w:eastAsia="en-AU"/>
        </w:rPr>
        <w:t xml:space="preserve">Table </w:t>
      </w:r>
      <w:r w:rsidR="000100B1">
        <w:rPr>
          <w:lang w:eastAsia="en-AU"/>
        </w:rPr>
        <w:t>2</w:t>
      </w:r>
      <w:r>
        <w:rPr>
          <w:lang w:eastAsia="en-AU"/>
        </w:rPr>
        <w:t>7 highlights that females can work up to 10 hours a week in Year 12 before it affects Year 12 performance, but once this threshold is exceeded, the TER performance falls significantly. Females appear to be better able to manage the competing demands of Year 12 and working up to 10 hours a week, with their TER scores affected at higher working hours than males. The effect of working more than 20 hours a week has a similar effect to males, reducing female TER scores on average by 4.4 points.</w:t>
      </w:r>
    </w:p>
    <w:p w14:paraId="3336BCCA" w14:textId="7BD96BE6" w:rsidR="00407F0A" w:rsidRDefault="00407F0A" w:rsidP="00303DC5">
      <w:pPr>
        <w:pStyle w:val="Text"/>
        <w:rPr>
          <w:lang w:eastAsia="en-AU"/>
        </w:rPr>
      </w:pPr>
      <w:r>
        <w:rPr>
          <w:lang w:eastAsia="en-AU"/>
        </w:rPr>
        <w:t>For both males and females, the detrimental effect of working on TER scores is not linear. Working between 15 and 20 hours appears to have a lower impact on TER scores than working between 10 and 15 hours for males, and for females, working more than 20 hours a week has a lower impact on TER scores than working between 15 and 20 hours a week. In both cases, these scores are not statistically significant and remain lower compared with TER scores for those not working at all. Therefore, we can conclude that there is a generally negative impact on TER scores associated with working for longer than five hours a week in Year 12.</w:t>
      </w:r>
    </w:p>
    <w:p w14:paraId="55F563BA" w14:textId="7BC576B0" w:rsidR="00407F0A" w:rsidRDefault="00407F0A" w:rsidP="00407F0A">
      <w:pPr>
        <w:pStyle w:val="Heading2"/>
        <w:rPr>
          <w:lang w:eastAsia="en-AU"/>
        </w:rPr>
      </w:pPr>
      <w:bookmarkStart w:id="285" w:name="_Toc15048969"/>
      <w:bookmarkStart w:id="286" w:name="_Toc19803982"/>
      <w:r>
        <w:rPr>
          <w:lang w:eastAsia="en-AU"/>
        </w:rPr>
        <w:lastRenderedPageBreak/>
        <w:t>Post-school outcomes</w:t>
      </w:r>
      <w:bookmarkEnd w:id="285"/>
      <w:bookmarkEnd w:id="286"/>
    </w:p>
    <w:p w14:paraId="41FFC850" w14:textId="3DFD8149" w:rsidR="00407F0A" w:rsidRDefault="00407F0A" w:rsidP="00303DC5">
      <w:pPr>
        <w:pStyle w:val="Text"/>
        <w:rPr>
          <w:lang w:eastAsia="en-AU"/>
        </w:rPr>
      </w:pPr>
      <w:r>
        <w:rPr>
          <w:lang w:eastAsia="en-AU"/>
        </w:rPr>
        <w:t>In this section we look at the effect of working in Year 12 on post-school outcomes for students who have completed Year 12 but who have gone on to post-school full-time study or post-school full-time employment in 2007, that is, one to two years after Year 12 for the majority of students</w:t>
      </w:r>
      <w:r w:rsidR="005622A4">
        <w:rPr>
          <w:lang w:eastAsia="en-AU"/>
        </w:rPr>
        <w:t>.</w:t>
      </w:r>
      <w:r w:rsidRPr="00D667F1">
        <w:rPr>
          <w:rStyle w:val="FootnoteReference"/>
          <w:rFonts w:ascii="Trebuchet MS" w:hAnsi="Trebuchet MS"/>
          <w:vertAlign w:val="superscript"/>
        </w:rPr>
        <w:footnoteReference w:id="16"/>
      </w:r>
      <w:r>
        <w:rPr>
          <w:lang w:eastAsia="en-AU"/>
        </w:rPr>
        <w:t xml:space="preserve"> We restrict our analysis to only Year 12 completers to </w:t>
      </w:r>
      <w:r w:rsidR="005622A4">
        <w:rPr>
          <w:lang w:eastAsia="en-AU"/>
        </w:rPr>
        <w:t xml:space="preserve">avoid </w:t>
      </w:r>
      <w:r>
        <w:rPr>
          <w:lang w:eastAsia="en-AU"/>
        </w:rPr>
        <w:t>contaminat</w:t>
      </w:r>
      <w:r w:rsidR="005622A4">
        <w:rPr>
          <w:lang w:eastAsia="en-AU"/>
        </w:rPr>
        <w:t>ing</w:t>
      </w:r>
      <w:r>
        <w:rPr>
          <w:lang w:eastAsia="en-AU"/>
        </w:rPr>
        <w:t xml:space="preserve"> the analysis with early school leavers, as time in the labour market matters when assessing employment outcomes.</w:t>
      </w:r>
    </w:p>
    <w:p w14:paraId="14096005" w14:textId="7C193C61" w:rsidR="00303DC5" w:rsidRDefault="00303DC5" w:rsidP="00303DC5">
      <w:pPr>
        <w:pStyle w:val="Heading3"/>
        <w:rPr>
          <w:lang w:eastAsia="en-AU"/>
        </w:rPr>
      </w:pPr>
      <w:r>
        <w:rPr>
          <w:lang w:eastAsia="en-AU"/>
        </w:rPr>
        <w:t>Effect of working in Year 12 on post-school full-time</w:t>
      </w:r>
      <w:r w:rsidR="009C3104">
        <w:rPr>
          <w:lang w:eastAsia="en-AU"/>
        </w:rPr>
        <w:t>-</w:t>
      </w:r>
      <w:r>
        <w:rPr>
          <w:lang w:eastAsia="en-AU"/>
        </w:rPr>
        <w:t>study status</w:t>
      </w:r>
    </w:p>
    <w:p w14:paraId="29EAA5D1" w14:textId="77777777" w:rsidR="00303DC5" w:rsidRDefault="00303DC5" w:rsidP="00D522F6">
      <w:pPr>
        <w:pStyle w:val="Text"/>
        <w:rPr>
          <w:lang w:eastAsia="en-AU"/>
        </w:rPr>
      </w:pPr>
      <w:r>
        <w:rPr>
          <w:lang w:eastAsia="en-AU"/>
        </w:rPr>
        <w:t xml:space="preserve">The outcome of interest is </w:t>
      </w:r>
      <w:proofErr w:type="gramStart"/>
      <w:r>
        <w:rPr>
          <w:lang w:eastAsia="en-AU"/>
        </w:rPr>
        <w:t>whether or not</w:t>
      </w:r>
      <w:proofErr w:type="gramEnd"/>
      <w:r>
        <w:rPr>
          <w:lang w:eastAsia="en-AU"/>
        </w:rPr>
        <w:t xml:space="preserve"> a respondent undertook any post-school full-time education in the two years after completing Year 12. Separate logistic regressions were undertaken for males and females, and the regressions consider the effect of TER score because we know this has an impact on post-school study.</w:t>
      </w:r>
    </w:p>
    <w:p w14:paraId="56E940F0" w14:textId="5283FF59" w:rsidR="00303DC5" w:rsidRDefault="00FD19A3" w:rsidP="00303DC5">
      <w:pPr>
        <w:pStyle w:val="Figuretitle"/>
        <w:rPr>
          <w:lang w:eastAsia="en-AU"/>
        </w:rPr>
      </w:pPr>
      <w:bookmarkStart w:id="287" w:name="_Toc19001706"/>
      <w:r w:rsidRPr="001A174A">
        <w:rPr>
          <w:noProof/>
        </w:rPr>
        <w:drawing>
          <wp:anchor distT="0" distB="0" distL="114300" distR="114300" simplePos="0" relativeHeight="252024832" behindDoc="0" locked="0" layoutInCell="1" allowOverlap="1" wp14:anchorId="14E3B2C8" wp14:editId="6F3794B3">
            <wp:simplePos x="0" y="0"/>
            <wp:positionH relativeFrom="column">
              <wp:posOffset>-626182</wp:posOffset>
            </wp:positionH>
            <wp:positionV relativeFrom="paragraph">
              <wp:posOffset>467887</wp:posOffset>
            </wp:positionV>
            <wp:extent cx="5391014" cy="2581275"/>
            <wp:effectExtent l="0" t="0" r="63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t="22778" b="13381"/>
                    <a:stretch/>
                  </pic:blipFill>
                  <pic:spPr bwMode="auto">
                    <a:xfrm>
                      <a:off x="0" y="0"/>
                      <a:ext cx="5391014" cy="258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3DC5">
        <w:t xml:space="preserve">Figure </w:t>
      </w:r>
      <w:r w:rsidR="00AB293C">
        <w:rPr>
          <w:noProof/>
        </w:rPr>
        <w:t>19</w:t>
      </w:r>
      <w:r w:rsidR="00303DC5">
        <w:tab/>
        <w:t>Predictive probability of undertaking further study by hours worked in Year 12</w:t>
      </w:r>
      <w:bookmarkEnd w:id="287"/>
    </w:p>
    <w:p w14:paraId="6C24ABDC" w14:textId="41A42DF6" w:rsidR="00303DC5" w:rsidRDefault="00303DC5" w:rsidP="00407F0A">
      <w:pPr>
        <w:jc w:val="both"/>
        <w:rPr>
          <w:lang w:eastAsia="en-AU"/>
        </w:rPr>
      </w:pPr>
    </w:p>
    <w:p w14:paraId="5AE377B9" w14:textId="18098CC2" w:rsidR="00303DC5" w:rsidRDefault="00303DC5" w:rsidP="00407F0A">
      <w:pPr>
        <w:jc w:val="both"/>
        <w:rPr>
          <w:lang w:eastAsia="en-AU"/>
        </w:rPr>
      </w:pPr>
    </w:p>
    <w:p w14:paraId="13988DF5" w14:textId="08A0CFD1" w:rsidR="00303DC5" w:rsidRDefault="00303DC5" w:rsidP="00407F0A">
      <w:pPr>
        <w:jc w:val="both"/>
        <w:rPr>
          <w:lang w:eastAsia="en-AU"/>
        </w:rPr>
      </w:pPr>
    </w:p>
    <w:p w14:paraId="27C71148" w14:textId="77777777" w:rsidR="00303DC5" w:rsidRDefault="00303DC5" w:rsidP="00407F0A">
      <w:pPr>
        <w:jc w:val="both"/>
        <w:rPr>
          <w:noProof/>
        </w:rPr>
      </w:pPr>
    </w:p>
    <w:p w14:paraId="07555B5E" w14:textId="4EEA11FB" w:rsidR="00303DC5" w:rsidRDefault="00303DC5" w:rsidP="00407F0A">
      <w:pPr>
        <w:jc w:val="both"/>
        <w:rPr>
          <w:lang w:eastAsia="en-AU"/>
        </w:rPr>
      </w:pPr>
    </w:p>
    <w:p w14:paraId="63292DED" w14:textId="2A8C5D41" w:rsidR="00303DC5" w:rsidRDefault="00303DC5" w:rsidP="00407F0A">
      <w:pPr>
        <w:jc w:val="both"/>
        <w:rPr>
          <w:noProof/>
        </w:rPr>
      </w:pPr>
    </w:p>
    <w:p w14:paraId="1ABDCEB8" w14:textId="0D3AF256" w:rsidR="00303DC5" w:rsidRDefault="00303DC5" w:rsidP="00407F0A">
      <w:pPr>
        <w:jc w:val="both"/>
        <w:rPr>
          <w:lang w:eastAsia="en-AU"/>
        </w:rPr>
      </w:pPr>
    </w:p>
    <w:p w14:paraId="47FE67A6" w14:textId="77777777" w:rsidR="00303DC5" w:rsidRDefault="00303DC5" w:rsidP="00407F0A">
      <w:pPr>
        <w:jc w:val="both"/>
        <w:rPr>
          <w:lang w:eastAsia="en-AU"/>
        </w:rPr>
      </w:pPr>
    </w:p>
    <w:p w14:paraId="2340AB9A" w14:textId="77777777" w:rsidR="00303DC5" w:rsidRDefault="00303DC5" w:rsidP="00407F0A">
      <w:pPr>
        <w:jc w:val="both"/>
        <w:rPr>
          <w:lang w:eastAsia="en-AU"/>
        </w:rPr>
      </w:pPr>
    </w:p>
    <w:p w14:paraId="4B0FA7D9" w14:textId="77777777" w:rsidR="00303DC5" w:rsidRDefault="00303DC5" w:rsidP="00407F0A">
      <w:pPr>
        <w:jc w:val="both"/>
        <w:rPr>
          <w:lang w:eastAsia="en-AU"/>
        </w:rPr>
      </w:pPr>
    </w:p>
    <w:p w14:paraId="41F3E2C9" w14:textId="474048C0" w:rsidR="000C574B" w:rsidRDefault="00303DC5" w:rsidP="00303DC5">
      <w:pPr>
        <w:pStyle w:val="Source"/>
        <w:rPr>
          <w:lang w:eastAsia="en-AU"/>
        </w:rPr>
      </w:pPr>
      <w:bookmarkStart w:id="288" w:name="_Hlk10033002"/>
      <w:r>
        <w:rPr>
          <w:lang w:eastAsia="en-AU"/>
        </w:rPr>
        <w:t xml:space="preserve">Note: </w:t>
      </w:r>
      <w:r w:rsidR="009C3104">
        <w:rPr>
          <w:lang w:eastAsia="en-AU"/>
        </w:rPr>
        <w:t># excludes students working &gt;40 hrs a week</w:t>
      </w:r>
      <w:r w:rsidR="000C574B">
        <w:rPr>
          <w:lang w:eastAsia="en-AU"/>
        </w:rPr>
        <w:t>.</w:t>
      </w:r>
    </w:p>
    <w:p w14:paraId="030BCE17" w14:textId="4E9AAAE1" w:rsidR="00303DC5" w:rsidRDefault="000C574B" w:rsidP="00303DC5">
      <w:pPr>
        <w:pStyle w:val="Source"/>
        <w:rPr>
          <w:lang w:eastAsia="en-AU"/>
        </w:rPr>
      </w:pPr>
      <w:r>
        <w:rPr>
          <w:lang w:eastAsia="en-AU"/>
        </w:rPr>
        <w:t>S</w:t>
      </w:r>
      <w:r w:rsidR="00303DC5">
        <w:rPr>
          <w:lang w:eastAsia="en-AU"/>
        </w:rPr>
        <w:t>ource</w:t>
      </w:r>
      <w:r>
        <w:rPr>
          <w:lang w:eastAsia="en-AU"/>
        </w:rPr>
        <w:t>:</w:t>
      </w:r>
      <w:r w:rsidR="00303DC5">
        <w:rPr>
          <w:lang w:eastAsia="en-AU"/>
        </w:rPr>
        <w:t xml:space="preserve"> LSAY Y03, 2003</w:t>
      </w:r>
      <w:r w:rsidR="00977E6B">
        <w:rPr>
          <w:rFonts w:cs="Arial"/>
          <w:lang w:eastAsia="en-AU"/>
        </w:rPr>
        <w:t>−</w:t>
      </w:r>
      <w:r w:rsidR="00303DC5">
        <w:rPr>
          <w:lang w:eastAsia="en-AU"/>
        </w:rPr>
        <w:t>07</w:t>
      </w:r>
      <w:r>
        <w:rPr>
          <w:lang w:eastAsia="en-AU"/>
        </w:rPr>
        <w:t>.</w:t>
      </w:r>
    </w:p>
    <w:p w14:paraId="25E70A3B" w14:textId="374272C7" w:rsidR="00303DC5" w:rsidRDefault="00303DC5" w:rsidP="00303DC5">
      <w:pPr>
        <w:pStyle w:val="Source"/>
        <w:rPr>
          <w:lang w:eastAsia="en-AU"/>
        </w:rPr>
      </w:pPr>
    </w:p>
    <w:bookmarkEnd w:id="288"/>
    <w:p w14:paraId="046AD860" w14:textId="7D6FC792" w:rsidR="00407F0A" w:rsidRDefault="00407F0A" w:rsidP="00303DC5">
      <w:pPr>
        <w:pStyle w:val="Text"/>
        <w:rPr>
          <w:lang w:eastAsia="en-AU"/>
        </w:rPr>
      </w:pPr>
      <w:r>
        <w:rPr>
          <w:lang w:eastAsia="en-AU"/>
        </w:rPr>
        <w:t xml:space="preserve">As illustrated in </w:t>
      </w:r>
      <w:r w:rsidR="009C3104">
        <w:rPr>
          <w:lang w:eastAsia="en-AU"/>
        </w:rPr>
        <w:t>f</w:t>
      </w:r>
      <w:r>
        <w:rPr>
          <w:lang w:eastAsia="en-AU"/>
        </w:rPr>
        <w:t xml:space="preserve">igure </w:t>
      </w:r>
      <w:r w:rsidR="00AB293C">
        <w:rPr>
          <w:lang w:eastAsia="en-AU"/>
        </w:rPr>
        <w:t>19</w:t>
      </w:r>
      <w:r>
        <w:rPr>
          <w:lang w:eastAsia="en-AU"/>
        </w:rPr>
        <w:t xml:space="preserve">, the general trend for males was that the more hours worked in Year 12, the less likely they were to undertake post-school full-time study. Working for more than 20 hours in Year 12 reduced the probability that a male would pursue full-time post-school study by -16 percentage points. For females, unlike for males, working for a moderate number of hours (less than 15 hours a week) in </w:t>
      </w:r>
      <w:r w:rsidR="000C574B">
        <w:rPr>
          <w:lang w:eastAsia="en-AU"/>
        </w:rPr>
        <w:t>Y</w:t>
      </w:r>
      <w:r>
        <w:rPr>
          <w:lang w:eastAsia="en-AU"/>
        </w:rPr>
        <w:t>ear 12 can have a positive impact on the probability that they will go on to pursue post-school full-time study. However, once hours exceed 15</w:t>
      </w:r>
      <w:r w:rsidR="00E649F2">
        <w:rPr>
          <w:lang w:eastAsia="en-AU"/>
        </w:rPr>
        <w:t xml:space="preserve"> to </w:t>
      </w:r>
      <w:r>
        <w:rPr>
          <w:lang w:eastAsia="en-AU"/>
        </w:rPr>
        <w:t>20 hours a week, then</w:t>
      </w:r>
      <w:r w:rsidR="0064269E">
        <w:rPr>
          <w:lang w:eastAsia="en-AU"/>
        </w:rPr>
        <w:t>,</w:t>
      </w:r>
      <w:r>
        <w:rPr>
          <w:lang w:eastAsia="en-AU"/>
        </w:rPr>
        <w:t xml:space="preserve"> as for males, a negative effect is evident. While we do not know the reason for this, females may be better able to manage the conflicting demands of school and work (as also evidence</w:t>
      </w:r>
      <w:r w:rsidR="00CB097B">
        <w:rPr>
          <w:lang w:eastAsia="en-AU"/>
        </w:rPr>
        <w:t>d</w:t>
      </w:r>
      <w:r>
        <w:rPr>
          <w:lang w:eastAsia="en-AU"/>
        </w:rPr>
        <w:t xml:space="preserve"> in TER results, where females can work slightly longer hours) than their male counterparts.</w:t>
      </w:r>
    </w:p>
    <w:p w14:paraId="62AC5B2A" w14:textId="77777777" w:rsidR="009C773E" w:rsidRDefault="009C773E" w:rsidP="001A45D0">
      <w:pPr>
        <w:pStyle w:val="Text"/>
        <w:rPr>
          <w:lang w:eastAsia="en-AU"/>
        </w:rPr>
      </w:pPr>
    </w:p>
    <w:p w14:paraId="11FB7C12" w14:textId="525359E4" w:rsidR="00407F0A" w:rsidRDefault="00407F0A" w:rsidP="00407F0A">
      <w:pPr>
        <w:pStyle w:val="Heading3"/>
        <w:rPr>
          <w:lang w:eastAsia="en-AU"/>
        </w:rPr>
      </w:pPr>
      <w:r>
        <w:rPr>
          <w:lang w:eastAsia="en-AU"/>
        </w:rPr>
        <w:lastRenderedPageBreak/>
        <w:t>Effect of working in Year 12 on post-school full-time employment status</w:t>
      </w:r>
    </w:p>
    <w:p w14:paraId="6D598C1E" w14:textId="3DEC2F3F" w:rsidR="00303DC5" w:rsidRDefault="00407F0A" w:rsidP="00303DC5">
      <w:pPr>
        <w:pStyle w:val="Text"/>
        <w:rPr>
          <w:lang w:eastAsia="en-AU"/>
        </w:rPr>
      </w:pPr>
      <w:r>
        <w:rPr>
          <w:lang w:eastAsia="en-AU"/>
        </w:rPr>
        <w:t>We investigated the impact of hours worked during Year 12 on full-time</w:t>
      </w:r>
      <w:r w:rsidR="00C5378E">
        <w:rPr>
          <w:lang w:eastAsia="en-AU"/>
        </w:rPr>
        <w:t xml:space="preserve"> </w:t>
      </w:r>
      <w:r>
        <w:rPr>
          <w:lang w:eastAsia="en-AU"/>
        </w:rPr>
        <w:t>employment status in 2007 for those who completed Year 12, but who did not undertake any full-time study in the two years after completing Year 12. Logistic regressions were undertaken for the dichotomous variable, in full-time employment or not in full-time employment in 2007.</w:t>
      </w:r>
    </w:p>
    <w:p w14:paraId="0878D638" w14:textId="315908DF" w:rsidR="00407F0A" w:rsidRDefault="00FD19A3" w:rsidP="009C773E">
      <w:pPr>
        <w:pStyle w:val="Figuretitle"/>
      </w:pPr>
      <w:bookmarkStart w:id="289" w:name="_Hlk3967177"/>
      <w:bookmarkStart w:id="290" w:name="_Toc19001707"/>
      <w:r w:rsidRPr="001A174A">
        <w:rPr>
          <w:noProof/>
        </w:rPr>
        <w:drawing>
          <wp:anchor distT="0" distB="0" distL="114300" distR="114300" simplePos="0" relativeHeight="252025856" behindDoc="0" locked="0" layoutInCell="1" allowOverlap="1" wp14:anchorId="1E42886A" wp14:editId="00058CE2">
            <wp:simplePos x="0" y="0"/>
            <wp:positionH relativeFrom="column">
              <wp:posOffset>-481833</wp:posOffset>
            </wp:positionH>
            <wp:positionV relativeFrom="paragraph">
              <wp:posOffset>428254</wp:posOffset>
            </wp:positionV>
            <wp:extent cx="5284331" cy="2579298"/>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6099" t="22222" b="16666"/>
                    <a:stretch/>
                  </pic:blipFill>
                  <pic:spPr bwMode="auto">
                    <a:xfrm>
                      <a:off x="0" y="0"/>
                      <a:ext cx="5311303" cy="25924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F0A">
        <w:t xml:space="preserve">Figure </w:t>
      </w:r>
      <w:r w:rsidR="00AB293C">
        <w:rPr>
          <w:noProof/>
        </w:rPr>
        <w:t>20</w:t>
      </w:r>
      <w:r w:rsidR="00407F0A">
        <w:tab/>
        <w:t>Predictive probability of post-school employment by hours worked in Year 12</w:t>
      </w:r>
      <w:bookmarkEnd w:id="289"/>
      <w:bookmarkEnd w:id="290"/>
    </w:p>
    <w:p w14:paraId="1EBEE1F6" w14:textId="36D55635" w:rsidR="00407F0A" w:rsidRDefault="00407F0A" w:rsidP="00407F0A"/>
    <w:p w14:paraId="45C5D687" w14:textId="5BD2CB0E" w:rsidR="00303DC5" w:rsidRDefault="00303DC5" w:rsidP="00407F0A">
      <w:pPr>
        <w:jc w:val="both"/>
        <w:rPr>
          <w:noProof/>
        </w:rPr>
      </w:pPr>
    </w:p>
    <w:p w14:paraId="2F6F15A1" w14:textId="44327CEE" w:rsidR="00303DC5" w:rsidRDefault="00303DC5" w:rsidP="00407F0A">
      <w:pPr>
        <w:jc w:val="both"/>
        <w:rPr>
          <w:noProof/>
        </w:rPr>
      </w:pPr>
    </w:p>
    <w:p w14:paraId="48ED9ADF" w14:textId="7178095C" w:rsidR="00303DC5" w:rsidRDefault="00303DC5" w:rsidP="00407F0A">
      <w:pPr>
        <w:jc w:val="both"/>
        <w:rPr>
          <w:lang w:eastAsia="en-AU"/>
        </w:rPr>
      </w:pPr>
    </w:p>
    <w:p w14:paraId="6E4C9435" w14:textId="2E42D8EE" w:rsidR="00303DC5" w:rsidRDefault="00303DC5" w:rsidP="00407F0A">
      <w:pPr>
        <w:jc w:val="both"/>
        <w:rPr>
          <w:lang w:eastAsia="en-AU"/>
        </w:rPr>
      </w:pPr>
    </w:p>
    <w:p w14:paraId="5588FF5F" w14:textId="77777777" w:rsidR="00303DC5" w:rsidRDefault="00303DC5" w:rsidP="00407F0A">
      <w:pPr>
        <w:jc w:val="both"/>
        <w:rPr>
          <w:lang w:eastAsia="en-AU"/>
        </w:rPr>
      </w:pPr>
    </w:p>
    <w:p w14:paraId="1871CE77" w14:textId="77777777" w:rsidR="00303DC5" w:rsidRDefault="00303DC5" w:rsidP="00407F0A">
      <w:pPr>
        <w:jc w:val="both"/>
        <w:rPr>
          <w:lang w:eastAsia="en-AU"/>
        </w:rPr>
      </w:pPr>
    </w:p>
    <w:p w14:paraId="69F3887A" w14:textId="77777777" w:rsidR="00303DC5" w:rsidRDefault="00303DC5" w:rsidP="00407F0A">
      <w:pPr>
        <w:jc w:val="both"/>
        <w:rPr>
          <w:lang w:eastAsia="en-AU"/>
        </w:rPr>
      </w:pPr>
    </w:p>
    <w:p w14:paraId="0DC336BE" w14:textId="77777777" w:rsidR="00303DC5" w:rsidRDefault="00303DC5" w:rsidP="00407F0A">
      <w:pPr>
        <w:jc w:val="both"/>
        <w:rPr>
          <w:lang w:eastAsia="en-AU"/>
        </w:rPr>
      </w:pPr>
    </w:p>
    <w:p w14:paraId="4E896D9C" w14:textId="77777777" w:rsidR="00303DC5" w:rsidRDefault="00303DC5" w:rsidP="00407F0A">
      <w:pPr>
        <w:jc w:val="both"/>
        <w:rPr>
          <w:lang w:eastAsia="en-AU"/>
        </w:rPr>
      </w:pPr>
    </w:p>
    <w:p w14:paraId="7624E936" w14:textId="62DD3EDC" w:rsidR="00977E6B" w:rsidRDefault="00303DC5" w:rsidP="00977E6B">
      <w:pPr>
        <w:pStyle w:val="Source"/>
        <w:rPr>
          <w:lang w:eastAsia="en-AU"/>
        </w:rPr>
      </w:pPr>
      <w:r>
        <w:rPr>
          <w:lang w:eastAsia="en-AU"/>
        </w:rPr>
        <w:t>Note:</w:t>
      </w:r>
      <w:r w:rsidR="00977E6B">
        <w:rPr>
          <w:lang w:eastAsia="en-AU"/>
        </w:rPr>
        <w:t xml:space="preserve"> # excludes students working &gt;40 hrs a week</w:t>
      </w:r>
    </w:p>
    <w:p w14:paraId="0280845B" w14:textId="25C05A1F" w:rsidR="00303DC5" w:rsidRDefault="00977E6B" w:rsidP="00303DC5">
      <w:pPr>
        <w:pStyle w:val="Source"/>
        <w:rPr>
          <w:lang w:eastAsia="en-AU"/>
        </w:rPr>
      </w:pPr>
      <w:r>
        <w:rPr>
          <w:lang w:eastAsia="en-AU"/>
        </w:rPr>
        <w:t>S</w:t>
      </w:r>
      <w:r w:rsidR="00303DC5">
        <w:rPr>
          <w:lang w:eastAsia="en-AU"/>
        </w:rPr>
        <w:t>ource</w:t>
      </w:r>
      <w:r>
        <w:rPr>
          <w:lang w:eastAsia="en-AU"/>
        </w:rPr>
        <w:t>:</w:t>
      </w:r>
      <w:r w:rsidR="00303DC5">
        <w:rPr>
          <w:lang w:eastAsia="en-AU"/>
        </w:rPr>
        <w:t xml:space="preserve"> LSAY Y03, 2003</w:t>
      </w:r>
      <w:r>
        <w:rPr>
          <w:rFonts w:cs="Arial"/>
          <w:lang w:eastAsia="en-AU"/>
        </w:rPr>
        <w:t>−</w:t>
      </w:r>
      <w:r w:rsidR="00303DC5">
        <w:rPr>
          <w:lang w:eastAsia="en-AU"/>
        </w:rPr>
        <w:t>07</w:t>
      </w:r>
      <w:r>
        <w:rPr>
          <w:lang w:eastAsia="en-AU"/>
        </w:rPr>
        <w:t>.</w:t>
      </w:r>
    </w:p>
    <w:p w14:paraId="1BEF5603" w14:textId="50468597" w:rsidR="00407F0A" w:rsidRDefault="00407F0A" w:rsidP="00303DC5">
      <w:pPr>
        <w:pStyle w:val="Text"/>
        <w:rPr>
          <w:lang w:eastAsia="en-AU"/>
        </w:rPr>
      </w:pPr>
      <w:r>
        <w:rPr>
          <w:lang w:eastAsia="en-AU"/>
        </w:rPr>
        <w:t>For males who complete school and pursue no post-school study, working for more than five hours in Year 12 is beneficial over not working at all. However, the rates of return do not increase in a linear manner and working between 10 and 15 hours a week maximises the probability of better post-school employment outcomes.</w:t>
      </w:r>
    </w:p>
    <w:p w14:paraId="47C37B0B" w14:textId="5BAB1B2C" w:rsidR="00407F0A" w:rsidRDefault="00407F0A" w:rsidP="00303DC5">
      <w:pPr>
        <w:pStyle w:val="Text"/>
        <w:rPr>
          <w:lang w:eastAsia="en-AU"/>
        </w:rPr>
      </w:pPr>
      <w:r>
        <w:rPr>
          <w:lang w:eastAsia="en-AU"/>
        </w:rPr>
        <w:t>For females, we see a similar pattern</w:t>
      </w:r>
      <w:r w:rsidR="005B45FA">
        <w:rPr>
          <w:lang w:eastAsia="en-AU"/>
        </w:rPr>
        <w:t>,</w:t>
      </w:r>
      <w:r>
        <w:rPr>
          <w:lang w:eastAsia="en-AU"/>
        </w:rPr>
        <w:t xml:space="preserve"> with positive benefits of combining school and work in Year 12 on post-school employment outcomes. However, females must work for slightly longer hours (15 to 20 hours a week in Year 12) to gain maximum benefit (of +29 percentage points), whereas maximum benefits are realised for males who work between 10 and 15 hours a week (of +27 percentage points).</w:t>
      </w:r>
    </w:p>
    <w:p w14:paraId="3154398D" w14:textId="77777777" w:rsidR="00407F0A" w:rsidRDefault="00407F0A" w:rsidP="00407F0A">
      <w:pPr>
        <w:pStyle w:val="Heading2"/>
        <w:rPr>
          <w:lang w:eastAsia="en-AU"/>
        </w:rPr>
      </w:pPr>
      <w:bookmarkStart w:id="291" w:name="_Toc15048970"/>
      <w:bookmarkStart w:id="292" w:name="_Toc19803983"/>
      <w:r>
        <w:rPr>
          <w:lang w:eastAsia="en-AU"/>
        </w:rPr>
        <w:t>Summary of findings</w:t>
      </w:r>
      <w:bookmarkEnd w:id="291"/>
      <w:bookmarkEnd w:id="292"/>
    </w:p>
    <w:p w14:paraId="0730A6ED" w14:textId="74A8346D" w:rsidR="00407F0A" w:rsidRDefault="00407F0A" w:rsidP="00303DC5">
      <w:pPr>
        <w:pStyle w:val="Text"/>
        <w:rPr>
          <w:lang w:eastAsia="en-AU"/>
        </w:rPr>
      </w:pPr>
      <w:r>
        <w:rPr>
          <w:lang w:eastAsia="en-AU"/>
        </w:rPr>
        <w:t>For the Y03 cohort, around half of senior secondary students combined part-time work and school</w:t>
      </w:r>
      <w:r w:rsidR="005B45FA">
        <w:rPr>
          <w:lang w:eastAsia="en-AU"/>
        </w:rPr>
        <w:t>,</w:t>
      </w:r>
      <w:r>
        <w:rPr>
          <w:lang w:eastAsia="en-AU"/>
        </w:rPr>
        <w:t xml:space="preserve"> with the proportion rising with increasing school year level. Students work on average 11</w:t>
      </w:r>
      <w:r w:rsidR="001B3624">
        <w:rPr>
          <w:lang w:eastAsia="en-AU"/>
        </w:rPr>
        <w:t xml:space="preserve"> to </w:t>
      </w:r>
      <w:r>
        <w:rPr>
          <w:lang w:eastAsia="en-AU"/>
        </w:rPr>
        <w:t>12 hours per week, with more females working than males. However, on average, males who combined work and school worked longer hours. Slightly more young people work when in Year 12 than in Year 11, with 52% of males and 62% of females working in Year 12.</w:t>
      </w:r>
    </w:p>
    <w:p w14:paraId="70807742" w14:textId="1BA1B7A0" w:rsidR="00407F0A" w:rsidRDefault="00407F0A" w:rsidP="00303DC5">
      <w:pPr>
        <w:pStyle w:val="Text"/>
        <w:rPr>
          <w:lang w:eastAsia="en-AU"/>
        </w:rPr>
      </w:pPr>
      <w:r>
        <w:rPr>
          <w:lang w:eastAsia="en-AU"/>
        </w:rPr>
        <w:t xml:space="preserve">Of all </w:t>
      </w:r>
      <w:r w:rsidR="004876E4">
        <w:rPr>
          <w:lang w:eastAsia="en-AU"/>
        </w:rPr>
        <w:t xml:space="preserve">of </w:t>
      </w:r>
      <w:r>
        <w:rPr>
          <w:lang w:eastAsia="en-AU"/>
        </w:rPr>
        <w:t>those working, up to 20% were working more than 15 hours per week, although there was a slight decline in this percentage for students who were in Year 12. For those who were working more than 15 hours per week, they were working on average up to 20 hours per week.</w:t>
      </w:r>
    </w:p>
    <w:p w14:paraId="0B6C22C7" w14:textId="3ECCF6A9" w:rsidR="00407F0A" w:rsidRDefault="00407F0A" w:rsidP="00303DC5">
      <w:pPr>
        <w:pStyle w:val="Text"/>
        <w:rPr>
          <w:lang w:eastAsia="en-AU"/>
        </w:rPr>
      </w:pPr>
      <w:r>
        <w:rPr>
          <w:lang w:eastAsia="en-AU"/>
        </w:rPr>
        <w:t>Combining school and work has a modest negative impact on school and post-school study outcomes when hours are long (more than 15</w:t>
      </w:r>
      <w:r w:rsidR="00F72435">
        <w:rPr>
          <w:lang w:eastAsia="en-AU"/>
        </w:rPr>
        <w:t xml:space="preserve"> to </w:t>
      </w:r>
      <w:r>
        <w:rPr>
          <w:lang w:eastAsia="en-AU"/>
        </w:rPr>
        <w:t xml:space="preserve">20 hours a week). Females are better able </w:t>
      </w:r>
      <w:r>
        <w:rPr>
          <w:lang w:eastAsia="en-AU"/>
        </w:rPr>
        <w:lastRenderedPageBreak/>
        <w:t>to balance school and work, with the magnitude of these negative effects generally being less than for males.</w:t>
      </w:r>
    </w:p>
    <w:p w14:paraId="4E7EF340" w14:textId="356733B1" w:rsidR="00407F0A" w:rsidRDefault="00407F0A" w:rsidP="00303DC5">
      <w:pPr>
        <w:pStyle w:val="Text"/>
        <w:rPr>
          <w:lang w:eastAsia="en-AU"/>
        </w:rPr>
      </w:pPr>
      <w:r>
        <w:rPr>
          <w:lang w:eastAsia="en-AU"/>
        </w:rPr>
        <w:t>Working for relative</w:t>
      </w:r>
      <w:r w:rsidR="007F02F1">
        <w:rPr>
          <w:lang w:eastAsia="en-AU"/>
        </w:rPr>
        <w:t>ly</w:t>
      </w:r>
      <w:r>
        <w:rPr>
          <w:lang w:eastAsia="en-AU"/>
        </w:rPr>
        <w:t xml:space="preserve"> few hours a week (around five hours per week) has a positive impact on post-school full-time employment, compared with not working at all. Females must work slightly longer hours </w:t>
      </w:r>
      <w:r w:rsidR="003D3A29">
        <w:rPr>
          <w:lang w:eastAsia="en-AU"/>
        </w:rPr>
        <w:t xml:space="preserve">than males (10 to 15 hours per week) </w:t>
      </w:r>
      <w:r>
        <w:rPr>
          <w:lang w:eastAsia="en-AU"/>
        </w:rPr>
        <w:t>to realise maximum benefits from working (15</w:t>
      </w:r>
      <w:r w:rsidR="007F02F1">
        <w:rPr>
          <w:lang w:eastAsia="en-AU"/>
        </w:rPr>
        <w:t xml:space="preserve"> to </w:t>
      </w:r>
      <w:r>
        <w:rPr>
          <w:lang w:eastAsia="en-AU"/>
        </w:rPr>
        <w:t>20 hours per week)</w:t>
      </w:r>
      <w:r w:rsidR="003D3A29">
        <w:rPr>
          <w:lang w:eastAsia="en-AU"/>
        </w:rPr>
        <w:t>,</w:t>
      </w:r>
      <w:r>
        <w:rPr>
          <w:lang w:eastAsia="en-AU"/>
        </w:rPr>
        <w:t xml:space="preserve"> but the magnitude of the effect is comparable with males.</w:t>
      </w:r>
    </w:p>
    <w:p w14:paraId="7746B89C" w14:textId="77777777" w:rsidR="00407F0A" w:rsidRDefault="00407F0A" w:rsidP="00303DC5">
      <w:pPr>
        <w:pStyle w:val="Text"/>
        <w:rPr>
          <w:lang w:eastAsia="en-AU"/>
        </w:rPr>
      </w:pPr>
      <w:r>
        <w:rPr>
          <w:lang w:eastAsia="en-AU"/>
        </w:rPr>
        <w:t>Unlike the negative effects we see for school and post-school study outcomes, we see positive effects from working in Year 12 on post-school employment for both males and females who do not go on to post-school full-time study.</w:t>
      </w:r>
    </w:p>
    <w:p w14:paraId="6F253B1F" w14:textId="77777777" w:rsidR="00407F0A" w:rsidRDefault="00407F0A" w:rsidP="00407F0A">
      <w:pPr>
        <w:pStyle w:val="Heading2"/>
        <w:rPr>
          <w:lang w:eastAsia="en-AU"/>
        </w:rPr>
      </w:pPr>
      <w:bookmarkStart w:id="293" w:name="_Toc15048971"/>
      <w:bookmarkStart w:id="294" w:name="_Toc19803984"/>
      <w:r>
        <w:rPr>
          <w:lang w:eastAsia="en-AU"/>
        </w:rPr>
        <w:t>Discussion</w:t>
      </w:r>
      <w:bookmarkEnd w:id="293"/>
      <w:bookmarkEnd w:id="294"/>
    </w:p>
    <w:p w14:paraId="0259F73F" w14:textId="40422210" w:rsidR="00407F0A" w:rsidRDefault="00407F0A" w:rsidP="00BB62E7">
      <w:pPr>
        <w:pStyle w:val="Text"/>
        <w:rPr>
          <w:lang w:eastAsia="en-AU"/>
        </w:rPr>
      </w:pPr>
      <w:r>
        <w:rPr>
          <w:lang w:eastAsia="en-AU"/>
        </w:rPr>
        <w:t xml:space="preserve">Consistent with other researchers, we found that students who combine school and work are </w:t>
      </w:r>
      <w:r w:rsidR="00257306">
        <w:rPr>
          <w:lang w:eastAsia="en-AU"/>
        </w:rPr>
        <w:t>dispersed</w:t>
      </w:r>
      <w:r>
        <w:rPr>
          <w:lang w:eastAsia="en-AU"/>
        </w:rPr>
        <w:t xml:space="preserve"> across the school population, although some groups tend to work longer hours than others. With such a large proportion of students combining school and work, it is not surprising that they do not have a set of strong defining characteristics. However, students who combine school and work are in general in the higher, but not highest</w:t>
      </w:r>
      <w:r w:rsidR="00257306">
        <w:rPr>
          <w:lang w:eastAsia="en-AU"/>
        </w:rPr>
        <w:t>,</w:t>
      </w:r>
      <w:r>
        <w:rPr>
          <w:lang w:eastAsia="en-AU"/>
        </w:rPr>
        <w:t xml:space="preserve"> </w:t>
      </w:r>
      <w:r w:rsidR="00257306">
        <w:rPr>
          <w:lang w:eastAsia="en-AU"/>
        </w:rPr>
        <w:t>SES</w:t>
      </w:r>
      <w:r>
        <w:rPr>
          <w:lang w:eastAsia="en-AU"/>
        </w:rPr>
        <w:t xml:space="preserve"> quartile, attend Catholic or government schools, are not in receipt of Youth Allowance, and prefer an apprenticeship, traineeship or a job when they leave school.</w:t>
      </w:r>
    </w:p>
    <w:p w14:paraId="506EDD6A" w14:textId="77777777" w:rsidR="00407F0A" w:rsidRDefault="00407F0A" w:rsidP="00BB62E7">
      <w:pPr>
        <w:pStyle w:val="Text"/>
        <w:rPr>
          <w:lang w:eastAsia="en-AU"/>
        </w:rPr>
      </w:pPr>
      <w:r>
        <w:rPr>
          <w:lang w:eastAsia="en-AU"/>
        </w:rPr>
        <w:t>We found moderately negative effects on school and post-school outcomes of combining school and work of more than 10 hours a week. In contrasting this research with similar studies in different economic conditions, with different cohorts, and a notable growth in the numbers of young people combining school and work (increasing from around a quarter of 15 to 19-year-olds in 1992 to around a third in 2008), we found the same effects for combining school and work on school and post-school outcomes.</w:t>
      </w:r>
    </w:p>
    <w:p w14:paraId="483107D2" w14:textId="18ABC4AE" w:rsidR="00407F0A" w:rsidRDefault="00407F0A" w:rsidP="00BB62E7">
      <w:pPr>
        <w:pStyle w:val="Text"/>
        <w:rPr>
          <w:lang w:eastAsia="en-AU"/>
        </w:rPr>
      </w:pPr>
      <w:r>
        <w:rPr>
          <w:lang w:eastAsia="en-AU"/>
        </w:rPr>
        <w:t>This research deconstructed school retention to measure both Year 10 to Year 11, and Year 11 to Year 12 retention. This enables us to better understand the way combining school and work can affect the decision points between Yea</w:t>
      </w:r>
      <w:r w:rsidR="004B0EE4">
        <w:rPr>
          <w:lang w:eastAsia="en-AU"/>
        </w:rPr>
        <w:t>r</w:t>
      </w:r>
      <w:r>
        <w:rPr>
          <w:lang w:eastAsia="en-AU"/>
        </w:rPr>
        <w:t>s 10 and 12 while allowing us to more finely model the effect of work in previous school year levels. This approach uncovered the finding that the negative effects of combining school and work on school retention are stronger for those who work in Year 10 than those who work in Year 11. Perhaps this is because those who are working in Year 1</w:t>
      </w:r>
      <w:r w:rsidR="00E7084D">
        <w:rPr>
          <w:lang w:eastAsia="en-AU"/>
        </w:rPr>
        <w:t>1</w:t>
      </w:r>
      <w:r>
        <w:rPr>
          <w:lang w:eastAsia="en-AU"/>
        </w:rPr>
        <w:t xml:space="preserve"> tend to moderate their hours. But, overall, the negative effects of combining school and work are modest, unless the person is working excessive hours (over 15</w:t>
      </w:r>
      <w:r w:rsidR="00AB3D00">
        <w:rPr>
          <w:lang w:eastAsia="en-AU"/>
        </w:rPr>
        <w:t xml:space="preserve"> to </w:t>
      </w:r>
      <w:r>
        <w:rPr>
          <w:lang w:eastAsia="en-AU"/>
        </w:rPr>
        <w:t>20 hours a week).</w:t>
      </w:r>
    </w:p>
    <w:p w14:paraId="1C05EBBE" w14:textId="171E0B94" w:rsidR="00407F0A" w:rsidRPr="00C82709" w:rsidRDefault="00407F0A" w:rsidP="00BB62E7">
      <w:pPr>
        <w:pStyle w:val="Text"/>
        <w:rPr>
          <w:lang w:eastAsia="en-AU"/>
        </w:rPr>
      </w:pPr>
      <w:r>
        <w:rPr>
          <w:lang w:eastAsia="en-AU"/>
        </w:rPr>
        <w:t xml:space="preserve">Is combining school and work detrimental to school and post-school outcomes? The results of this research point towards moderate hours being preferable. Longer hours appear to be detrimental </w:t>
      </w:r>
      <w:r w:rsidR="00E7084D">
        <w:rPr>
          <w:lang w:eastAsia="en-AU"/>
        </w:rPr>
        <w:t>to</w:t>
      </w:r>
      <w:r>
        <w:rPr>
          <w:lang w:eastAsia="en-AU"/>
        </w:rPr>
        <w:t xml:space="preserve"> educational outcomes but good for employment outcomes, which tends to suggest that those willing to work the longer hours are distancing themselves from the education environment.</w:t>
      </w:r>
    </w:p>
    <w:p w14:paraId="0658F4B7" w14:textId="77777777" w:rsidR="009C773E" w:rsidRDefault="009C773E" w:rsidP="00407F0A">
      <w:pPr>
        <w:pStyle w:val="Heading2"/>
        <w:sectPr w:rsidR="009C773E" w:rsidSect="0010685D">
          <w:pgSz w:w="11907" w:h="16840" w:code="9"/>
          <w:pgMar w:top="1276" w:right="2552" w:bottom="851" w:left="1418" w:header="709" w:footer="556" w:gutter="0"/>
          <w:cols w:space="708"/>
          <w:docGrid w:linePitch="360"/>
        </w:sectPr>
      </w:pPr>
    </w:p>
    <w:p w14:paraId="2A319371" w14:textId="4130C095" w:rsidR="00407F0A" w:rsidRDefault="00407F0A" w:rsidP="009C773E">
      <w:pPr>
        <w:pStyle w:val="Heading2"/>
        <w:spacing w:before="0"/>
      </w:pPr>
      <w:bookmarkStart w:id="295" w:name="_Toc15048972"/>
      <w:bookmarkStart w:id="296" w:name="_Toc19803985"/>
      <w:r>
        <w:lastRenderedPageBreak/>
        <w:t>References</w:t>
      </w:r>
      <w:bookmarkEnd w:id="295"/>
      <w:bookmarkEnd w:id="296"/>
    </w:p>
    <w:p w14:paraId="4AF23177" w14:textId="26408587" w:rsidR="00407F0A" w:rsidRPr="004E3D4B" w:rsidRDefault="00E7084D" w:rsidP="009C773E">
      <w:pPr>
        <w:pStyle w:val="References"/>
      </w:pPr>
      <w:r>
        <w:t>ABS (</w:t>
      </w:r>
      <w:r w:rsidR="00407F0A">
        <w:t>Australian Bureau of Statistics</w:t>
      </w:r>
      <w:r>
        <w:t>)</w:t>
      </w:r>
      <w:r w:rsidR="00407F0A">
        <w:t xml:space="preserve"> 2008, </w:t>
      </w:r>
      <w:r w:rsidR="00407F0A">
        <w:rPr>
          <w:i/>
        </w:rPr>
        <w:t>Schools Australia 2007</w:t>
      </w:r>
      <w:r w:rsidR="00407F0A">
        <w:t>, cat.</w:t>
      </w:r>
      <w:r>
        <w:t>n</w:t>
      </w:r>
      <w:r w:rsidR="00407F0A">
        <w:t xml:space="preserve">o.4221.0, ABS, Canberra, </w:t>
      </w:r>
      <w:r w:rsidR="00234B0F">
        <w:t>viewed 24 July 2019</w:t>
      </w:r>
      <w:r w:rsidR="00407F0A">
        <w:t>, &lt;http://www.abs.gov.au/AUSSTATS/abs@.nsf/DetailsPage/4221.02007?OpenDocument&gt;.</w:t>
      </w:r>
    </w:p>
    <w:p w14:paraId="48606CC9" w14:textId="2E2B8B8A" w:rsidR="00407F0A" w:rsidRPr="003F6DAE" w:rsidRDefault="00407F0A" w:rsidP="009C773E">
      <w:pPr>
        <w:pStyle w:val="References"/>
      </w:pPr>
      <w:r>
        <w:t xml:space="preserve">Biddle, N 2007, ‘The labour market status of Australian students: who is unemployed, who is working and for how many hours?, </w:t>
      </w:r>
      <w:r>
        <w:rPr>
          <w:i/>
        </w:rPr>
        <w:t>Journal of Education and Work</w:t>
      </w:r>
      <w:r>
        <w:t>, vol.20, no</w:t>
      </w:r>
      <w:r w:rsidR="00234B0F">
        <w:t>.</w:t>
      </w:r>
      <w:r>
        <w:t>3, July, pp.179</w:t>
      </w:r>
      <w:r w:rsidR="00234B0F">
        <w:t>−</w:t>
      </w:r>
      <w:r>
        <w:t>209.</w:t>
      </w:r>
    </w:p>
    <w:p w14:paraId="363A2A98" w14:textId="5AFA8A7C" w:rsidR="00407F0A" w:rsidRPr="003F6DAE" w:rsidRDefault="00407F0A" w:rsidP="009C773E">
      <w:pPr>
        <w:pStyle w:val="References"/>
      </w:pPr>
      <w:proofErr w:type="spellStart"/>
      <w:r>
        <w:t>Howieson</w:t>
      </w:r>
      <w:proofErr w:type="spellEnd"/>
      <w:r>
        <w:t xml:space="preserve">, C, McKechnie, J &amp; Semple, S 2006, </w:t>
      </w:r>
      <w:r>
        <w:rPr>
          <w:i/>
        </w:rPr>
        <w:t>The nature and implications of the part-time employment of secondary school pu</w:t>
      </w:r>
      <w:r w:rsidR="00CB097B">
        <w:rPr>
          <w:i/>
        </w:rPr>
        <w:t>pils</w:t>
      </w:r>
      <w:r>
        <w:t>, Scottish Executive Social Research, Department of Enterprise, Transport and Lifelong Learning, Scotland.</w:t>
      </w:r>
    </w:p>
    <w:p w14:paraId="7080DF4F" w14:textId="7E5D3D26" w:rsidR="00407F0A" w:rsidRPr="003F6DAE" w:rsidRDefault="00407F0A" w:rsidP="009C773E">
      <w:pPr>
        <w:pStyle w:val="References"/>
      </w:pPr>
      <w:r>
        <w:t xml:space="preserve">Robinson, L 1999, </w:t>
      </w:r>
      <w:r>
        <w:rPr>
          <w:i/>
        </w:rPr>
        <w:t>The effects of part-time work on school students</w:t>
      </w:r>
      <w:r>
        <w:t xml:space="preserve">, LSAY research report </w:t>
      </w:r>
      <w:r w:rsidR="002D24F2">
        <w:t>no.</w:t>
      </w:r>
      <w:r>
        <w:t xml:space="preserve">9, </w:t>
      </w:r>
      <w:r w:rsidR="00363B7F">
        <w:t>Australian Council for Educational Research,</w:t>
      </w:r>
      <w:r>
        <w:t xml:space="preserve"> </w:t>
      </w:r>
      <w:r w:rsidR="002D24F2">
        <w:t>Camberwell, Vic</w:t>
      </w:r>
      <w:r>
        <w:t>.</w:t>
      </w:r>
    </w:p>
    <w:p w14:paraId="1B03CE97" w14:textId="77777777" w:rsidR="00407F0A" w:rsidRDefault="00407F0A" w:rsidP="009C773E">
      <w:pPr>
        <w:pStyle w:val="References"/>
      </w:pPr>
      <w:r>
        <w:t xml:space="preserve">Smith, E &amp; Green, A 2005, </w:t>
      </w:r>
      <w:r>
        <w:rPr>
          <w:i/>
        </w:rPr>
        <w:t>How workplace experiences while at school affect career pathways</w:t>
      </w:r>
      <w:r>
        <w:t>, NCVER, Adelaide.</w:t>
      </w:r>
    </w:p>
    <w:p w14:paraId="7C19381D" w14:textId="77777777" w:rsidR="00407F0A" w:rsidRDefault="00407F0A" w:rsidP="009C773E">
      <w:pPr>
        <w:pStyle w:val="References"/>
      </w:pPr>
      <w:r>
        <w:br w:type="page"/>
      </w:r>
    </w:p>
    <w:p w14:paraId="77C1060A" w14:textId="3E0DE44B" w:rsidR="00BB62E7" w:rsidRDefault="00BB62E7" w:rsidP="00E612BF">
      <w:pPr>
        <w:pStyle w:val="Heading1"/>
      </w:pPr>
      <w:bookmarkStart w:id="297" w:name="_Toc19803986"/>
      <w:r>
        <w:lastRenderedPageBreak/>
        <w:t>Young people not in education, employment or training (NEET)</w:t>
      </w:r>
      <w:bookmarkEnd w:id="297"/>
    </w:p>
    <w:p w14:paraId="4311ADFC" w14:textId="74BE8803" w:rsidR="00BB62E7" w:rsidRPr="00D667F1" w:rsidRDefault="00BB62E7" w:rsidP="00BB62E7">
      <w:pPr>
        <w:pStyle w:val="Text"/>
        <w:rPr>
          <w:i/>
          <w:sz w:val="22"/>
          <w:szCs w:val="22"/>
        </w:rPr>
      </w:pPr>
      <w:r w:rsidRPr="00D667F1">
        <w:rPr>
          <w:i/>
          <w:sz w:val="22"/>
          <w:szCs w:val="22"/>
        </w:rPr>
        <w:t>Cameron Forrest</w:t>
      </w:r>
      <w:r w:rsidR="006000B3" w:rsidRPr="00D667F1">
        <w:rPr>
          <w:i/>
          <w:sz w:val="22"/>
          <w:szCs w:val="22"/>
        </w:rPr>
        <w:t xml:space="preserve">, </w:t>
      </w:r>
      <w:r w:rsidR="00CB097B">
        <w:rPr>
          <w:i/>
          <w:sz w:val="22"/>
          <w:szCs w:val="22"/>
        </w:rPr>
        <w:t>NCVER</w:t>
      </w:r>
    </w:p>
    <w:p w14:paraId="184C7C3C" w14:textId="1B5D9BEB" w:rsidR="00BB62E7" w:rsidRPr="00BB62E7" w:rsidRDefault="00BB62E7" w:rsidP="00BB62E7">
      <w:pPr>
        <w:pStyle w:val="Text"/>
        <w:rPr>
          <w:i/>
        </w:rPr>
      </w:pPr>
      <w:r w:rsidRPr="00BB62E7">
        <w:rPr>
          <w:i/>
        </w:rPr>
        <w:t xml:space="preserve">The analyses in this section have been drawn from </w:t>
      </w:r>
      <w:r w:rsidR="008467A4">
        <w:rPr>
          <w:i/>
        </w:rPr>
        <w:t>a 2017</w:t>
      </w:r>
      <w:r w:rsidR="00CB097B">
        <w:rPr>
          <w:i/>
        </w:rPr>
        <w:t xml:space="preserve"> NCVER</w:t>
      </w:r>
      <w:r w:rsidR="008467A4">
        <w:rPr>
          <w:i/>
        </w:rPr>
        <w:t xml:space="preserve"> report</w:t>
      </w:r>
      <w:r w:rsidR="004A541A">
        <w:rPr>
          <w:i/>
        </w:rPr>
        <w:t xml:space="preserve">, </w:t>
      </w:r>
      <w:proofErr w:type="gramStart"/>
      <w:r w:rsidR="004A541A" w:rsidRPr="00B011CC">
        <w:rPr>
          <w:iCs/>
        </w:rPr>
        <w:t>Who</w:t>
      </w:r>
      <w:proofErr w:type="gramEnd"/>
      <w:r w:rsidR="004A541A" w:rsidRPr="00B011CC">
        <w:rPr>
          <w:iCs/>
        </w:rPr>
        <w:t xml:space="preserve"> are the persistently NEET young people?</w:t>
      </w:r>
      <w:r w:rsidR="008467A4">
        <w:rPr>
          <w:i/>
        </w:rPr>
        <w:t xml:space="preserve"> by </w:t>
      </w:r>
      <w:r w:rsidR="00B011CC">
        <w:rPr>
          <w:i/>
        </w:rPr>
        <w:t xml:space="preserve">J </w:t>
      </w:r>
      <w:r w:rsidRPr="00BB62E7">
        <w:rPr>
          <w:i/>
        </w:rPr>
        <w:t xml:space="preserve">Stanwick, </w:t>
      </w:r>
      <w:r w:rsidR="00B011CC">
        <w:rPr>
          <w:i/>
        </w:rPr>
        <w:t xml:space="preserve">C </w:t>
      </w:r>
      <w:r w:rsidRPr="00BB62E7">
        <w:rPr>
          <w:i/>
        </w:rPr>
        <w:t xml:space="preserve">Forrest </w:t>
      </w:r>
      <w:r w:rsidR="008467A4">
        <w:rPr>
          <w:i/>
        </w:rPr>
        <w:t>and</w:t>
      </w:r>
      <w:r w:rsidRPr="00BB62E7">
        <w:rPr>
          <w:i/>
        </w:rPr>
        <w:t xml:space="preserve"> </w:t>
      </w:r>
      <w:r w:rsidR="00B011CC">
        <w:rPr>
          <w:i/>
        </w:rPr>
        <w:t xml:space="preserve">P </w:t>
      </w:r>
      <w:proofErr w:type="spellStart"/>
      <w:r w:rsidRPr="00BB62E7">
        <w:rPr>
          <w:i/>
        </w:rPr>
        <w:t>Skujins</w:t>
      </w:r>
      <w:proofErr w:type="spellEnd"/>
      <w:r w:rsidRPr="00BB62E7">
        <w:rPr>
          <w:i/>
        </w:rPr>
        <w:t>.</w:t>
      </w:r>
    </w:p>
    <w:p w14:paraId="4946BB8D" w14:textId="5E39C6D7" w:rsidR="00BB62E7" w:rsidRDefault="00BB62E7" w:rsidP="00BB62E7">
      <w:pPr>
        <w:pStyle w:val="Text"/>
      </w:pPr>
      <w:r>
        <w:t>Not being in education, employment or training (NEET) is recognised internationally as a key indicator of youth disengagement. Young people in this group are less likely to have the skills and experience necessary for a successful transition into employment or further education and consequently are more likely to have poorer outcomes in later life. Although it is normal for young people to be NEET at some point during their transition from education into the labour market, individuals who are NEET for longer periods are at risk of longer-term disengagement and disadvantage (Brynner &amp; Parsons 2002; Furlong 2006). Reducing the incidence and duration of NEET periods is therefore likely to provide wider economic benefits</w:t>
      </w:r>
      <w:r w:rsidR="007D7604">
        <w:t xml:space="preserve">, as well as </w:t>
      </w:r>
      <w:r>
        <w:t>improving individual outcomes, and so is of considerable interest from a policy perspective.</w:t>
      </w:r>
    </w:p>
    <w:p w14:paraId="3995DB14" w14:textId="6D816628" w:rsidR="00BB62E7" w:rsidRDefault="00BB62E7" w:rsidP="00BB62E7">
      <w:pPr>
        <w:pStyle w:val="Text"/>
      </w:pPr>
      <w:r>
        <w:t>Because it is quite normal for young people to be NEET for some period of time during their initial transition into the labour market (</w:t>
      </w:r>
      <w:proofErr w:type="spellStart"/>
      <w:r>
        <w:t>Quintini</w:t>
      </w:r>
      <w:proofErr w:type="spellEnd"/>
      <w:r>
        <w:t xml:space="preserve">, Martin &amp; Martin 2007), cross-sectional or ‘snapshot’ figures may be less useful for understanding </w:t>
      </w:r>
      <w:r w:rsidR="00F31E05">
        <w:t xml:space="preserve">the </w:t>
      </w:r>
      <w:r>
        <w:t>risk factors for, and consequences of, NEET periods than longitudinal data such as those provided by</w:t>
      </w:r>
      <w:r w:rsidR="0000677B">
        <w:t xml:space="preserve"> the Longitudinal Surveys of Australian Youth</w:t>
      </w:r>
      <w:r>
        <w:t xml:space="preserve"> </w:t>
      </w:r>
      <w:r w:rsidR="0000677B">
        <w:t>(</w:t>
      </w:r>
      <w:r>
        <w:t>LSAY</w:t>
      </w:r>
      <w:r w:rsidR="0000677B">
        <w:t>)</w:t>
      </w:r>
      <w:r>
        <w:t xml:space="preserve">. In addition, the comprehensive education and employment biographies provided by LSAY allow for a holistic definition of NEET (see </w:t>
      </w:r>
      <w:r w:rsidR="00803D57">
        <w:t>f</w:t>
      </w:r>
      <w:r>
        <w:t xml:space="preserve">igure </w:t>
      </w:r>
      <w:r w:rsidR="00AB293C">
        <w:t>2</w:t>
      </w:r>
      <w:r>
        <w:t>1). Education status, employment status, and NEET status could therefore be derived for each month of the 10-year survey period.</w:t>
      </w:r>
    </w:p>
    <w:p w14:paraId="1839088A" w14:textId="5F096149" w:rsidR="0000677B" w:rsidRDefault="0000677B" w:rsidP="00BB62E7">
      <w:pPr>
        <w:pStyle w:val="Text"/>
      </w:pPr>
    </w:p>
    <w:p w14:paraId="05E60E7B" w14:textId="439103A9" w:rsidR="0000677B" w:rsidRDefault="0000677B" w:rsidP="00BB62E7">
      <w:pPr>
        <w:pStyle w:val="Text"/>
      </w:pPr>
    </w:p>
    <w:p w14:paraId="2D4640DD" w14:textId="7EFAA0FE" w:rsidR="0000677B" w:rsidRDefault="0000677B" w:rsidP="00BB62E7">
      <w:pPr>
        <w:pStyle w:val="Text"/>
      </w:pPr>
    </w:p>
    <w:p w14:paraId="6FFF1B0B" w14:textId="4F9E2DC1" w:rsidR="0000677B" w:rsidRDefault="0000677B" w:rsidP="00BB62E7">
      <w:pPr>
        <w:pStyle w:val="Text"/>
      </w:pPr>
    </w:p>
    <w:p w14:paraId="024E16DD" w14:textId="78CCB775" w:rsidR="0000677B" w:rsidRDefault="0000677B" w:rsidP="00BB62E7">
      <w:pPr>
        <w:pStyle w:val="Text"/>
      </w:pPr>
    </w:p>
    <w:p w14:paraId="60A7005F" w14:textId="112A63F4" w:rsidR="0000677B" w:rsidRDefault="0000677B" w:rsidP="00BB62E7">
      <w:pPr>
        <w:pStyle w:val="Text"/>
      </w:pPr>
    </w:p>
    <w:p w14:paraId="224947DB" w14:textId="0A3215BC" w:rsidR="0000677B" w:rsidRDefault="0000677B" w:rsidP="00BB62E7">
      <w:pPr>
        <w:pStyle w:val="Text"/>
      </w:pPr>
    </w:p>
    <w:p w14:paraId="3E7888CA" w14:textId="7F39F529" w:rsidR="0000677B" w:rsidRDefault="0000677B" w:rsidP="00BB62E7">
      <w:pPr>
        <w:pStyle w:val="Text"/>
      </w:pPr>
    </w:p>
    <w:p w14:paraId="6D7F1ED4" w14:textId="7EACD212" w:rsidR="0000677B" w:rsidRDefault="0000677B" w:rsidP="00BB62E7">
      <w:pPr>
        <w:pStyle w:val="Text"/>
      </w:pPr>
    </w:p>
    <w:p w14:paraId="4703E79D" w14:textId="5B85AC05" w:rsidR="0000677B" w:rsidRDefault="0000677B" w:rsidP="00BB62E7">
      <w:pPr>
        <w:pStyle w:val="Text"/>
      </w:pPr>
    </w:p>
    <w:p w14:paraId="322529F6" w14:textId="0112CED6" w:rsidR="0000677B" w:rsidRDefault="0000677B" w:rsidP="00BB62E7">
      <w:pPr>
        <w:pStyle w:val="Text"/>
      </w:pPr>
    </w:p>
    <w:p w14:paraId="499591DA" w14:textId="77777777" w:rsidR="0000677B" w:rsidRDefault="0000677B" w:rsidP="00BB62E7">
      <w:pPr>
        <w:pStyle w:val="Text"/>
      </w:pPr>
    </w:p>
    <w:p w14:paraId="0544694F" w14:textId="245D976B" w:rsidR="00BB62E7" w:rsidRPr="004779E8" w:rsidRDefault="0000677B" w:rsidP="00BB62E7">
      <w:pPr>
        <w:pStyle w:val="Figuretitle"/>
      </w:pPr>
      <w:bookmarkStart w:id="298" w:name="_Toc19001708"/>
      <w:r>
        <w:rPr>
          <w:noProof/>
          <w:lang w:eastAsia="en-AU"/>
        </w:rPr>
        <w:lastRenderedPageBreak/>
        <w:drawing>
          <wp:anchor distT="0" distB="0" distL="114300" distR="114300" simplePos="0" relativeHeight="252026880" behindDoc="0" locked="0" layoutInCell="1" allowOverlap="1" wp14:anchorId="1D8E4CA6" wp14:editId="090F2020">
            <wp:simplePos x="0" y="0"/>
            <wp:positionH relativeFrom="margin">
              <wp:align>center</wp:align>
            </wp:positionH>
            <wp:positionV relativeFrom="paragraph">
              <wp:posOffset>234002</wp:posOffset>
            </wp:positionV>
            <wp:extent cx="4171950" cy="3397769"/>
            <wp:effectExtent l="0" t="0" r="0" b="0"/>
            <wp:wrapTopAndBottom/>
            <wp:docPr id="35" name="Picture 35" descr="C:\Users\johnstanwick\AppData\Local\Microsoft\Windows\Temporary Internet Files\Content.Outlook\K64I8UX3\NEET flowch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stanwick\AppData\Local\Microsoft\Windows\Temporary Internet Files\Content.Outlook\K64I8UX3\NEET flowchart (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71950" cy="3397769"/>
                    </a:xfrm>
                    <a:prstGeom prst="rect">
                      <a:avLst/>
                    </a:prstGeom>
                    <a:noFill/>
                    <a:ln>
                      <a:noFill/>
                    </a:ln>
                  </pic:spPr>
                </pic:pic>
              </a:graphicData>
            </a:graphic>
            <wp14:sizeRelH relativeFrom="page">
              <wp14:pctWidth>0</wp14:pctWidth>
            </wp14:sizeRelH>
            <wp14:sizeRelV relativeFrom="page">
              <wp14:pctHeight>0</wp14:pctHeight>
            </wp14:sizeRelV>
          </wp:anchor>
        </w:drawing>
      </w:r>
      <w:r w:rsidR="00BB62E7">
        <w:t xml:space="preserve">Figure </w:t>
      </w:r>
      <w:r w:rsidR="00AB293C">
        <w:t>21</w:t>
      </w:r>
      <w:r w:rsidR="00557D5E">
        <w:tab/>
      </w:r>
      <w:r w:rsidR="00BB62E7">
        <w:t>Factors considered in the derivation of NEET status</w:t>
      </w:r>
      <w:bookmarkEnd w:id="298"/>
    </w:p>
    <w:p w14:paraId="31B1AF83" w14:textId="77777777" w:rsidR="0000677B" w:rsidRDefault="0000677B" w:rsidP="0000677B">
      <w:pPr>
        <w:pStyle w:val="BodyText"/>
        <w:jc w:val="center"/>
      </w:pPr>
    </w:p>
    <w:p w14:paraId="113C93F7" w14:textId="7D0440EA" w:rsidR="00BB62E7" w:rsidRDefault="00BB62E7" w:rsidP="0000677B">
      <w:pPr>
        <w:pStyle w:val="BodyText"/>
      </w:pPr>
      <w:r>
        <w:t xml:space="preserve">Due to the complexity of the analyses, findings have been reported for the Y03 and Y06 cohorts only, and data have not been weighted. For this reason, the figures reported below are not necessarily representative of the wider Australian population. At the time of the initial study, the Y06 cohort was in its </w:t>
      </w:r>
      <w:r w:rsidR="00803D57">
        <w:t>11</w:t>
      </w:r>
      <w:r>
        <w:t xml:space="preserve">th year of collection, and so data were only available until wave 10 (2015). For comparability, analyses involving the Y03 cohort were </w:t>
      </w:r>
      <w:r w:rsidR="002F0F33">
        <w:t xml:space="preserve">also </w:t>
      </w:r>
      <w:r>
        <w:t xml:space="preserve">restricted to </w:t>
      </w:r>
      <w:r w:rsidR="0000677B">
        <w:t>10</w:t>
      </w:r>
      <w:r w:rsidR="007B768D">
        <w:t xml:space="preserve"> waves of data instead of </w:t>
      </w:r>
      <w:r w:rsidR="0000677B">
        <w:t>11</w:t>
      </w:r>
      <w:r w:rsidR="007B768D">
        <w:t xml:space="preserve"> </w:t>
      </w:r>
      <w:r>
        <w:t>(</w:t>
      </w:r>
      <w:r w:rsidR="00F862EA">
        <w:t>that is,</w:t>
      </w:r>
      <w:r w:rsidR="002F0F33">
        <w:t xml:space="preserve"> the analysis period for Y03 was</w:t>
      </w:r>
      <w:r>
        <w:t xml:space="preserve"> 2003</w:t>
      </w:r>
      <w:r w:rsidR="00F862EA">
        <w:t>−</w:t>
      </w:r>
      <w:r w:rsidR="002F0F33">
        <w:t>20</w:t>
      </w:r>
      <w:r>
        <w:t>12</w:t>
      </w:r>
      <w:r w:rsidR="002F0F33">
        <w:t>, and 2006-2015 for Y06</w:t>
      </w:r>
      <w:r>
        <w:t>).</w:t>
      </w:r>
    </w:p>
    <w:p w14:paraId="5C052087" w14:textId="61E96A7B" w:rsidR="00BB62E7" w:rsidRDefault="00BB62E7" w:rsidP="00BB62E7">
      <w:pPr>
        <w:pStyle w:val="Heading2"/>
      </w:pPr>
      <w:bookmarkStart w:id="299" w:name="_Toc15048974"/>
      <w:bookmarkStart w:id="300" w:name="_Toc19803987"/>
      <w:r>
        <w:t>Size of the NEET groups</w:t>
      </w:r>
      <w:bookmarkEnd w:id="299"/>
      <w:bookmarkEnd w:id="300"/>
    </w:p>
    <w:p w14:paraId="4BBDC4EB" w14:textId="031EC9CB" w:rsidR="00FD19A3" w:rsidRDefault="00BB62E7" w:rsidP="009763BF">
      <w:pPr>
        <w:pStyle w:val="Text"/>
      </w:pPr>
      <w:r>
        <w:t xml:space="preserve">Figure </w:t>
      </w:r>
      <w:r w:rsidR="00AB293C">
        <w:t>2</w:t>
      </w:r>
      <w:r>
        <w:t>2 shows the size of the analysis groups, according to whether respondents were not NEET during any given month of the survey period (‘never NEET’), NEET for one month or more at some stage during the survey period (‘ever NEET’), or NEET for a period of six or more consecutive months during the same period (‘persistently NEET’). To account for attrition, these figures represent proportions of the sample who were still present in the survey at wave 10. Note that the figures do not sum to 100</w:t>
      </w:r>
      <w:r w:rsidR="00CC0650">
        <w:t>%</w:t>
      </w:r>
      <w:r>
        <w:t xml:space="preserve"> because the ever NEET and persistently NEET groups are not mutually exclusive.</w:t>
      </w:r>
    </w:p>
    <w:p w14:paraId="55B4BE7A" w14:textId="06601F93" w:rsidR="0000677B" w:rsidRDefault="00FD19A3" w:rsidP="00FD19A3">
      <w:pPr>
        <w:spacing w:before="0" w:line="240" w:lineRule="auto"/>
      </w:pPr>
      <w:r>
        <w:br w:type="page"/>
      </w:r>
    </w:p>
    <w:p w14:paraId="4A383819" w14:textId="06FFD639" w:rsidR="00BB62E7" w:rsidRPr="00AC401D" w:rsidRDefault="00557D5E" w:rsidP="009763BF">
      <w:pPr>
        <w:pStyle w:val="Figuretitle"/>
      </w:pPr>
      <w:bookmarkStart w:id="301" w:name="_Toc19001709"/>
      <w:r>
        <w:rPr>
          <w:noProof/>
          <w:lang w:eastAsia="en-AU"/>
        </w:rPr>
        <w:lastRenderedPageBreak/>
        <w:drawing>
          <wp:anchor distT="0" distB="0" distL="114300" distR="114300" simplePos="0" relativeHeight="252027904" behindDoc="0" locked="0" layoutInCell="1" allowOverlap="1" wp14:anchorId="05083FD9" wp14:editId="78FE51E5">
            <wp:simplePos x="0" y="0"/>
            <wp:positionH relativeFrom="page">
              <wp:posOffset>811530</wp:posOffset>
            </wp:positionH>
            <wp:positionV relativeFrom="paragraph">
              <wp:posOffset>191770</wp:posOffset>
            </wp:positionV>
            <wp:extent cx="4813300" cy="2999105"/>
            <wp:effectExtent l="0" t="0" r="6350" b="0"/>
            <wp:wrapTopAndBottom/>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sidR="00BB62E7">
        <w:t xml:space="preserve">Figure </w:t>
      </w:r>
      <w:r w:rsidR="00AB293C">
        <w:t>2</w:t>
      </w:r>
      <w:r w:rsidR="00BB62E7">
        <w:t>2</w:t>
      </w:r>
      <w:r>
        <w:tab/>
      </w:r>
      <w:r w:rsidR="00BB62E7">
        <w:t xml:space="preserve">Size of the NEET groups </w:t>
      </w:r>
      <w:r w:rsidR="009763BF">
        <w:t>(ages 15</w:t>
      </w:r>
      <w:r w:rsidR="00CC0650">
        <w:rPr>
          <w:rFonts w:cs="Arial"/>
        </w:rPr>
        <w:t>−</w:t>
      </w:r>
      <w:r w:rsidR="009763BF">
        <w:t xml:space="preserve">24) </w:t>
      </w:r>
      <w:r w:rsidR="00BB62E7">
        <w:t>in Y03 and Y06 across the full survey period</w:t>
      </w:r>
      <w:bookmarkEnd w:id="301"/>
    </w:p>
    <w:p w14:paraId="76435F67" w14:textId="261A8035" w:rsidR="00BB62E7" w:rsidRDefault="00BB62E7" w:rsidP="0000677B">
      <w:r>
        <w:t xml:space="preserve">A higher proportion of the Y06 cohort was NEET at some point during the survey period </w:t>
      </w:r>
      <w:r w:rsidR="00CC0650">
        <w:t>by comparison with</w:t>
      </w:r>
      <w:r>
        <w:t xml:space="preserve"> the Y03 cohort (39.2% v</w:t>
      </w:r>
      <w:r w:rsidR="0000677B">
        <w:t>ersus</w:t>
      </w:r>
      <w:r>
        <w:t xml:space="preserve"> 25.8%), an unexpected finding</w:t>
      </w:r>
      <w:r w:rsidR="00CC0650">
        <w:t>,</w:t>
      </w:r>
      <w:r>
        <w:t xml:space="preserve"> given that only three years separated the survey periods for the two cohorts. The same was also true for the persistently NEET group (17.1% v</w:t>
      </w:r>
      <w:r w:rsidR="0000677B">
        <w:t>ersu</w:t>
      </w:r>
      <w:r>
        <w:t>s 10.7%). As previously mentioned, due to the greater risks associated with becoming NEET during adolescence, these categories were also produced for waves 1 to 5 of the survey period, when participants were aged 15</w:t>
      </w:r>
      <w:r w:rsidR="0087137B">
        <w:t xml:space="preserve"> to </w:t>
      </w:r>
      <w:r>
        <w:t>19</w:t>
      </w:r>
      <w:r w:rsidR="008A6404">
        <w:t xml:space="preserve"> years</w:t>
      </w:r>
      <w:r>
        <w:t xml:space="preserve">. The results are presented in </w:t>
      </w:r>
      <w:r w:rsidR="008A6404">
        <w:t>f</w:t>
      </w:r>
      <w:r>
        <w:t xml:space="preserve">igure </w:t>
      </w:r>
      <w:r w:rsidR="00AB293C">
        <w:t>2</w:t>
      </w:r>
      <w:r>
        <w:t>3.</w:t>
      </w:r>
    </w:p>
    <w:p w14:paraId="11AFF22D" w14:textId="571E75CF" w:rsidR="00BB62E7" w:rsidRPr="00B61E5E" w:rsidRDefault="00BB62E7" w:rsidP="009763BF">
      <w:pPr>
        <w:pStyle w:val="Figuretitle"/>
      </w:pPr>
      <w:bookmarkStart w:id="302" w:name="_Toc19001710"/>
      <w:r w:rsidRPr="00B61E5E">
        <w:t xml:space="preserve">Figure </w:t>
      </w:r>
      <w:r w:rsidR="00AB293C">
        <w:t>2</w:t>
      </w:r>
      <w:r w:rsidRPr="00B61E5E">
        <w:t>3</w:t>
      </w:r>
      <w:r w:rsidR="00557D5E">
        <w:tab/>
      </w:r>
      <w:r w:rsidRPr="00B61E5E">
        <w:t xml:space="preserve">Size of the NEET groups </w:t>
      </w:r>
      <w:r w:rsidR="009763BF">
        <w:t>(ages 15</w:t>
      </w:r>
      <w:r w:rsidR="008A6404">
        <w:rPr>
          <w:rFonts w:cs="Arial"/>
        </w:rPr>
        <w:t>−</w:t>
      </w:r>
      <w:r w:rsidR="000C6F42">
        <w:rPr>
          <w:rFonts w:cs="Arial"/>
        </w:rPr>
        <w:t>19</w:t>
      </w:r>
      <w:r w:rsidR="009763BF">
        <w:t xml:space="preserve">) </w:t>
      </w:r>
      <w:r w:rsidRPr="00B61E5E">
        <w:t>in Y03 and Y06 between waves 1</w:t>
      </w:r>
      <w:r w:rsidR="008A6404">
        <w:t xml:space="preserve"> and </w:t>
      </w:r>
      <w:r w:rsidRPr="00B61E5E">
        <w:t>5</w:t>
      </w:r>
      <w:bookmarkEnd w:id="302"/>
    </w:p>
    <w:p w14:paraId="25EA5049" w14:textId="24C07EA8" w:rsidR="00BB62E7" w:rsidRDefault="009763BF" w:rsidP="00BB62E7">
      <w:r>
        <w:rPr>
          <w:noProof/>
          <w:lang w:eastAsia="en-AU"/>
        </w:rPr>
        <w:drawing>
          <wp:anchor distT="0" distB="0" distL="114300" distR="114300" simplePos="0" relativeHeight="252028928" behindDoc="0" locked="0" layoutInCell="1" allowOverlap="1" wp14:anchorId="38F2987B" wp14:editId="5578C8C0">
            <wp:simplePos x="0" y="0"/>
            <wp:positionH relativeFrom="margin">
              <wp:posOffset>-103073</wp:posOffset>
            </wp:positionH>
            <wp:positionV relativeFrom="paragraph">
              <wp:posOffset>52222</wp:posOffset>
            </wp:positionV>
            <wp:extent cx="4886553" cy="2633472"/>
            <wp:effectExtent l="0" t="0" r="0" b="0"/>
            <wp:wrapNone/>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14:paraId="56A06671" w14:textId="271D2927" w:rsidR="009763BF" w:rsidRDefault="009763BF" w:rsidP="00BB62E7"/>
    <w:p w14:paraId="6A1138F2" w14:textId="77777777" w:rsidR="009763BF" w:rsidRDefault="009763BF" w:rsidP="00BB62E7"/>
    <w:p w14:paraId="1031507D" w14:textId="77777777" w:rsidR="009763BF" w:rsidRDefault="009763BF" w:rsidP="00BB62E7"/>
    <w:p w14:paraId="71C378F5" w14:textId="77777777" w:rsidR="009763BF" w:rsidRDefault="009763BF" w:rsidP="00BB62E7"/>
    <w:p w14:paraId="060C4544" w14:textId="77777777" w:rsidR="009763BF" w:rsidRDefault="009763BF" w:rsidP="00BB62E7"/>
    <w:p w14:paraId="20EF8179" w14:textId="77777777" w:rsidR="009763BF" w:rsidRDefault="009763BF" w:rsidP="00BB62E7"/>
    <w:p w14:paraId="785485AE" w14:textId="77777777" w:rsidR="009763BF" w:rsidRDefault="009763BF" w:rsidP="00BB62E7"/>
    <w:p w14:paraId="5F7D55F6" w14:textId="77777777" w:rsidR="009763BF" w:rsidRDefault="009763BF" w:rsidP="00BB62E7"/>
    <w:p w14:paraId="4CAA3611" w14:textId="77777777" w:rsidR="009763BF" w:rsidRDefault="009763BF" w:rsidP="00BB62E7"/>
    <w:p w14:paraId="2916D33E" w14:textId="268C4A81" w:rsidR="00BB62E7" w:rsidRDefault="00BB62E7" w:rsidP="009763BF">
      <w:pPr>
        <w:pStyle w:val="Text"/>
      </w:pPr>
      <w:r>
        <w:t xml:space="preserve">The increased proportions comprising the </w:t>
      </w:r>
      <w:r w:rsidR="0000677B">
        <w:t>‘</w:t>
      </w:r>
      <w:r>
        <w:t>never NEET</w:t>
      </w:r>
      <w:r w:rsidR="0000677B">
        <w:t>’</w:t>
      </w:r>
      <w:r>
        <w:t xml:space="preserve"> groups reflect the decreased opportunity to become NEET, given the temporal dependencies of the derivations. Nevertheless, the discrepancies between the Y03 and Y06 cohorts are more pronounced here, with 18.1% of the Y06 cohort who were still present in wave 10 experiencing some NEET period before the age of 19</w:t>
      </w:r>
      <w:r w:rsidR="008A6404">
        <w:t xml:space="preserve"> years</w:t>
      </w:r>
      <w:r>
        <w:t xml:space="preserve">, compared with just 3.1% of the </w:t>
      </w:r>
      <w:r w:rsidR="00F47016">
        <w:t>Y</w:t>
      </w:r>
      <w:r>
        <w:t>03 cohort. Although explanations for this effect are not immediately clear, it is likely that the timing of the Global Financial Crisis</w:t>
      </w:r>
      <w:r w:rsidR="0000677B">
        <w:t xml:space="preserve"> (GFC)</w:t>
      </w:r>
      <w:r>
        <w:t xml:space="preserve"> impacted </w:t>
      </w:r>
      <w:r w:rsidR="00F47016">
        <w:t xml:space="preserve">on </w:t>
      </w:r>
      <w:r>
        <w:t xml:space="preserve">these groups in different ways. In 2009, when the economic impact of the GFC became more pronounced in Australia, Y06 respondents were aged about 18 </w:t>
      </w:r>
      <w:r w:rsidR="00F47016">
        <w:t xml:space="preserve">years </w:t>
      </w:r>
      <w:r>
        <w:t xml:space="preserve">and beginning to transition into the labour market. </w:t>
      </w:r>
      <w:r>
        <w:lastRenderedPageBreak/>
        <w:t>Conversely, the Y03 cohort was aged about 21</w:t>
      </w:r>
      <w:r w:rsidR="00F47016">
        <w:t xml:space="preserve"> years</w:t>
      </w:r>
      <w:r>
        <w:t xml:space="preserve"> and may have had an advantage in the additional three years to transition from school into employment or further education.</w:t>
      </w:r>
    </w:p>
    <w:p w14:paraId="6BB2B961" w14:textId="77777777" w:rsidR="00BB62E7" w:rsidRDefault="00BB62E7" w:rsidP="00BB62E7">
      <w:pPr>
        <w:pStyle w:val="Heading2"/>
      </w:pPr>
      <w:bookmarkStart w:id="303" w:name="_Toc15048975"/>
      <w:bookmarkStart w:id="304" w:name="_Toc19803988"/>
      <w:r>
        <w:t>How long do NEET periods last?</w:t>
      </w:r>
      <w:bookmarkEnd w:id="303"/>
      <w:bookmarkEnd w:id="304"/>
    </w:p>
    <w:p w14:paraId="427E9F7F" w14:textId="6F130F6D" w:rsidR="00BB62E7" w:rsidRDefault="00BB62E7" w:rsidP="009763BF">
      <w:pPr>
        <w:pStyle w:val="Text"/>
      </w:pPr>
      <w:r>
        <w:t xml:space="preserve">On average, between </w:t>
      </w:r>
      <w:r w:rsidR="00F47016">
        <w:t xml:space="preserve">the </w:t>
      </w:r>
      <w:r>
        <w:t xml:space="preserve">ages </w:t>
      </w:r>
      <w:r w:rsidR="00F47016">
        <w:t xml:space="preserve">of </w:t>
      </w:r>
      <w:r>
        <w:t>15 and 24</w:t>
      </w:r>
      <w:r w:rsidR="0000677B">
        <w:t>,</w:t>
      </w:r>
      <w:r>
        <w:t xml:space="preserve"> LSAY participants spent between 2.3 months (Y03) and 3.9 months (Y06) in the NEET state. However, these figures are heavily influenced by the number of respondents who were not NEET at any stage throughout that period; when restricted to individuals who were NEET at some point during the </w:t>
      </w:r>
      <w:r w:rsidR="00F47016">
        <w:t>10</w:t>
      </w:r>
      <w:r>
        <w:t xml:space="preserve"> years, those figures rose to 9.0 months (Y03) and 9.9 months (Y06).</w:t>
      </w:r>
    </w:p>
    <w:p w14:paraId="0EB99C4A" w14:textId="56A0832A" w:rsidR="00BB62E7" w:rsidRDefault="00BB62E7" w:rsidP="009763BF">
      <w:pPr>
        <w:pStyle w:val="Text"/>
      </w:pPr>
      <w:r>
        <w:t>This effect became more pronounced when examining individuals who were persistently NEET during the survey period: for Y03, persistently NEET individuals spent an average of 17.7 months NEET, and this increased to 18.7 months for Y06 respondents. Finally, individuals who were persistently NEET between</w:t>
      </w:r>
      <w:r w:rsidR="0000677B">
        <w:t xml:space="preserve"> the</w:t>
      </w:r>
      <w:r>
        <w:t xml:space="preserve"> ages</w:t>
      </w:r>
      <w:r w:rsidR="0000677B">
        <w:t xml:space="preserve"> of</w:t>
      </w:r>
      <w:r>
        <w:t xml:space="preserve"> 15 and 19 </w:t>
      </w:r>
      <w:r w:rsidR="00462C01">
        <w:t xml:space="preserve">years </w:t>
      </w:r>
      <w:r>
        <w:t>spent 24.8 months (Y06) to 28.6 months (Y03) NEET, representing as much as 31.6% of all months covered by the survey period. This in particular seems to indicate a ‘scarring effect’, such that NEET periods in adolescence are likely to extend or lead to additional NEET periods in early adulthood.</w:t>
      </w:r>
    </w:p>
    <w:p w14:paraId="01AD6B80" w14:textId="77777777" w:rsidR="00BB62E7" w:rsidRDefault="00BB62E7" w:rsidP="00BB62E7">
      <w:pPr>
        <w:pStyle w:val="Heading2"/>
      </w:pPr>
      <w:bookmarkStart w:id="305" w:name="_Toc15048976"/>
      <w:bookmarkStart w:id="306" w:name="_Toc19803989"/>
      <w:r>
        <w:t>Which demographic factors are associated with NEET periods?</w:t>
      </w:r>
      <w:bookmarkEnd w:id="305"/>
      <w:bookmarkEnd w:id="306"/>
    </w:p>
    <w:p w14:paraId="7501ABD8" w14:textId="77777777" w:rsidR="00BB62E7" w:rsidRDefault="00BB62E7" w:rsidP="00E41DF7">
      <w:pPr>
        <w:pStyle w:val="Text"/>
      </w:pPr>
      <w:r>
        <w:t>Socio-demographic factors that were significantly associated with persistent NEET periods included, in decreasing order of significance:</w:t>
      </w:r>
    </w:p>
    <w:p w14:paraId="5C2A6CF7" w14:textId="05B68CAA" w:rsidR="00BB62E7" w:rsidRDefault="00462C01" w:rsidP="009763BF">
      <w:pPr>
        <w:pStyle w:val="Text"/>
        <w:numPr>
          <w:ilvl w:val="0"/>
          <w:numId w:val="41"/>
        </w:numPr>
      </w:pPr>
      <w:r>
        <w:t>h</w:t>
      </w:r>
      <w:r w:rsidR="00BB62E7">
        <w:t>aving children (</w:t>
      </w:r>
      <w:r w:rsidR="00BB62E7">
        <w:rPr>
          <w:i/>
        </w:rPr>
        <w:t>V</w:t>
      </w:r>
      <w:r w:rsidR="00BB62E7">
        <w:t xml:space="preserve"> = .13 = .31)</w:t>
      </w:r>
      <w:r w:rsidR="00FB1AE4">
        <w:rPr>
          <w:rStyle w:val="FootnoteReference"/>
        </w:rPr>
        <w:footnoteReference w:id="17"/>
      </w:r>
    </w:p>
    <w:p w14:paraId="62A31512" w14:textId="16E11257" w:rsidR="00BB62E7" w:rsidRDefault="00BB62E7" w:rsidP="009763BF">
      <w:pPr>
        <w:pStyle w:val="Text"/>
        <w:numPr>
          <w:ilvl w:val="0"/>
          <w:numId w:val="41"/>
        </w:numPr>
      </w:pPr>
      <w:r>
        <w:t>Year 12 non-completion (</w:t>
      </w:r>
      <w:r>
        <w:rPr>
          <w:i/>
        </w:rPr>
        <w:t>V</w:t>
      </w:r>
      <w:r>
        <w:t xml:space="preserve"> = .12 - .23)</w:t>
      </w:r>
    </w:p>
    <w:p w14:paraId="256C4F79" w14:textId="0854AA6A" w:rsidR="00BB62E7" w:rsidRDefault="00462C01" w:rsidP="009763BF">
      <w:pPr>
        <w:pStyle w:val="Text"/>
        <w:numPr>
          <w:ilvl w:val="0"/>
          <w:numId w:val="41"/>
        </w:numPr>
      </w:pPr>
      <w:r>
        <w:t>c</w:t>
      </w:r>
      <w:r w:rsidR="00BB62E7">
        <w:t>oming from a lower socioeconomic background (</w:t>
      </w:r>
      <w:r w:rsidR="00BB62E7">
        <w:rPr>
          <w:i/>
        </w:rPr>
        <w:t>V</w:t>
      </w:r>
      <w:r w:rsidR="00BB62E7">
        <w:t xml:space="preserve"> = .09 - .13)</w:t>
      </w:r>
    </w:p>
    <w:p w14:paraId="47319911" w14:textId="4FF0CF79" w:rsidR="00BB62E7" w:rsidRDefault="00E82583" w:rsidP="009763BF">
      <w:pPr>
        <w:pStyle w:val="Text"/>
        <w:numPr>
          <w:ilvl w:val="0"/>
          <w:numId w:val="41"/>
        </w:numPr>
      </w:pPr>
      <w:r>
        <w:t>c</w:t>
      </w:r>
      <w:r w:rsidR="00BB62E7">
        <w:t>oming from a provincial geographic location (</w:t>
      </w:r>
      <w:r w:rsidR="00BB62E7">
        <w:rPr>
          <w:i/>
        </w:rPr>
        <w:t>V</w:t>
      </w:r>
      <w:r w:rsidR="00BB62E7">
        <w:t xml:space="preserve"> = .05 - .06)</w:t>
      </w:r>
    </w:p>
    <w:p w14:paraId="54C9FF49" w14:textId="635D95BE" w:rsidR="00BB62E7" w:rsidRDefault="00E82583" w:rsidP="009763BF">
      <w:pPr>
        <w:pStyle w:val="Text"/>
        <w:numPr>
          <w:ilvl w:val="0"/>
          <w:numId w:val="41"/>
        </w:numPr>
      </w:pPr>
      <w:r>
        <w:t>f</w:t>
      </w:r>
      <w:r w:rsidR="00BB62E7">
        <w:t xml:space="preserve">emale gender (Y03 only, </w:t>
      </w:r>
      <w:r w:rsidR="00BB62E7">
        <w:rPr>
          <w:i/>
        </w:rPr>
        <w:t>V</w:t>
      </w:r>
      <w:r w:rsidR="00BB62E7">
        <w:t xml:space="preserve"> = .09)</w:t>
      </w:r>
    </w:p>
    <w:p w14:paraId="645372C0" w14:textId="77777777" w:rsidR="00BB62E7" w:rsidRDefault="00BB62E7" w:rsidP="009763BF">
      <w:pPr>
        <w:pStyle w:val="Text"/>
        <w:numPr>
          <w:ilvl w:val="0"/>
          <w:numId w:val="41"/>
        </w:numPr>
      </w:pPr>
      <w:r>
        <w:t xml:space="preserve">Indigeneity (Y06 only, </w:t>
      </w:r>
      <w:r>
        <w:rPr>
          <w:i/>
        </w:rPr>
        <w:t>V</w:t>
      </w:r>
      <w:r>
        <w:t xml:space="preserve"> = .05).</w:t>
      </w:r>
    </w:p>
    <w:p w14:paraId="70662AC8" w14:textId="7BE0884C" w:rsidR="00BB62E7" w:rsidRDefault="00BB62E7" w:rsidP="00E41DF7">
      <w:pPr>
        <w:pStyle w:val="Text"/>
      </w:pPr>
      <w:r>
        <w:t xml:space="preserve">Although significant, many of these effects were small; having children and </w:t>
      </w:r>
      <w:r w:rsidR="00FC17E4">
        <w:t>Y</w:t>
      </w:r>
      <w:r>
        <w:t xml:space="preserve">ear 12 non-completion </w:t>
      </w:r>
      <w:r w:rsidR="007B768D">
        <w:t>were the factors that were</w:t>
      </w:r>
      <w:r>
        <w:t xml:space="preserve"> most notable and </w:t>
      </w:r>
      <w:r w:rsidR="007B768D">
        <w:t>consistently correlated with</w:t>
      </w:r>
      <w:r>
        <w:t xml:space="preserve"> persistently NEET periods.</w:t>
      </w:r>
    </w:p>
    <w:p w14:paraId="1A841E3D" w14:textId="77777777" w:rsidR="00BB62E7" w:rsidRDefault="00BB62E7" w:rsidP="00BB62E7">
      <w:pPr>
        <w:pStyle w:val="Heading2"/>
      </w:pPr>
      <w:bookmarkStart w:id="307" w:name="_Toc15048977"/>
      <w:bookmarkStart w:id="308" w:name="_Toc19803990"/>
      <w:r>
        <w:t>What predicts NEET periods in young adulthood?</w:t>
      </w:r>
      <w:bookmarkEnd w:id="307"/>
      <w:bookmarkEnd w:id="308"/>
    </w:p>
    <w:p w14:paraId="5988CD12" w14:textId="0D0D4F26" w:rsidR="00BB62E7" w:rsidRDefault="00BB62E7" w:rsidP="00E41DF7">
      <w:pPr>
        <w:pStyle w:val="Text"/>
      </w:pPr>
      <w:r>
        <w:t>The final analyses of the report comprised a series of regressions predicting NEET periods from a range of demographic and social factors. To do so, the survey periods were split into two halves, reflecting ages 15 to 19 and ages 20 to 24</w:t>
      </w:r>
      <w:r w:rsidR="00FC17E4">
        <w:t xml:space="preserve"> years</w:t>
      </w:r>
      <w:r>
        <w:t>. Outcomes between ages 20 and 24 could therefore be predicted from factors measured between ages 15 and 19, thereby controlling for the direction of causality.</w:t>
      </w:r>
    </w:p>
    <w:p w14:paraId="70300D3E" w14:textId="09CFACDC" w:rsidR="00BB62E7" w:rsidRDefault="00BB62E7" w:rsidP="00E41DF7">
      <w:pPr>
        <w:pStyle w:val="Text"/>
      </w:pPr>
      <w:r>
        <w:lastRenderedPageBreak/>
        <w:t xml:space="preserve">Significant predictors of persistently NEET periods between </w:t>
      </w:r>
      <w:r w:rsidR="00D350E9">
        <w:t xml:space="preserve">the </w:t>
      </w:r>
      <w:r>
        <w:t xml:space="preserve">ages </w:t>
      </w:r>
      <w:r w:rsidR="00D350E9">
        <w:t xml:space="preserve">of </w:t>
      </w:r>
      <w:r>
        <w:t xml:space="preserve">20 and 24 are presented in </w:t>
      </w:r>
      <w:r w:rsidR="00D350E9">
        <w:t>t</w:t>
      </w:r>
      <w:r>
        <w:t xml:space="preserve">able </w:t>
      </w:r>
      <w:r w:rsidR="00AD48D8">
        <w:t>28</w:t>
      </w:r>
      <w:r>
        <w:t xml:space="preserve">. Findings are reported in terms of odds ratios (OR), which represent the relative likelihood of becoming persistently NEET. For example, an individual in the Y06 cohort who was persistently NEET between </w:t>
      </w:r>
      <w:r w:rsidR="00D350E9">
        <w:t xml:space="preserve">the </w:t>
      </w:r>
      <w:r>
        <w:t xml:space="preserve">ages </w:t>
      </w:r>
      <w:r w:rsidR="00D350E9">
        <w:t xml:space="preserve">of </w:t>
      </w:r>
      <w:r>
        <w:t xml:space="preserve">15 and 19 </w:t>
      </w:r>
      <w:r w:rsidR="00D350E9">
        <w:t xml:space="preserve">years </w:t>
      </w:r>
      <w:r>
        <w:t xml:space="preserve">was 5.39 times </w:t>
      </w:r>
      <w:r w:rsidR="007A3163">
        <w:t>more</w:t>
      </w:r>
      <w:r>
        <w:t xml:space="preserve"> likely to be persistently NEET between </w:t>
      </w:r>
      <w:r w:rsidR="00D350E9">
        <w:t xml:space="preserve">the </w:t>
      </w:r>
      <w:r>
        <w:t xml:space="preserve">ages </w:t>
      </w:r>
      <w:r w:rsidR="00D350E9">
        <w:t xml:space="preserve">of </w:t>
      </w:r>
      <w:r>
        <w:t xml:space="preserve">20 and 24 compared with someone who was not persistently NEET between </w:t>
      </w:r>
      <w:r w:rsidR="00B0285C">
        <w:t xml:space="preserve">the </w:t>
      </w:r>
      <w:r>
        <w:t xml:space="preserve">ages </w:t>
      </w:r>
      <w:r w:rsidR="00B0285C">
        <w:t xml:space="preserve">of </w:t>
      </w:r>
      <w:r>
        <w:t xml:space="preserve">15 and 19. This again points to a scarring effect of NEET periods experienced during adolescence. Other predictors included socioeconomic status, </w:t>
      </w:r>
      <w:r w:rsidR="007306C4">
        <w:t>Y</w:t>
      </w:r>
      <w:r>
        <w:t xml:space="preserve">ear 12 non-completion, and female gender (Y03 only). </w:t>
      </w:r>
      <w:r w:rsidR="007306C4">
        <w:t>However, b</w:t>
      </w:r>
      <w:r>
        <w:t xml:space="preserve">y far the most significant predictor was having children between </w:t>
      </w:r>
      <w:r w:rsidR="007306C4">
        <w:t xml:space="preserve">the </w:t>
      </w:r>
      <w:r>
        <w:t xml:space="preserve">ages </w:t>
      </w:r>
      <w:r w:rsidR="007306C4">
        <w:t xml:space="preserve">of </w:t>
      </w:r>
      <w:r>
        <w:t xml:space="preserve">15 and 19 (OR = 4.42 – 7.97); that is, respondents who had children during adolescence were up to </w:t>
      </w:r>
      <w:r w:rsidR="00634817">
        <w:t>eight</w:t>
      </w:r>
      <w:r>
        <w:t xml:space="preserve"> times </w:t>
      </w:r>
      <w:r w:rsidR="00634817">
        <w:t>more</w:t>
      </w:r>
      <w:r>
        <w:t xml:space="preserve"> likely to be NEET for a period of six months or more during early adulthood. This has profound implications for policy. Should childcare responsibilities be considered a ‘legitimate’ reason to not be in any form of employment, education, or training? Is it appropriate to include young mothers and fathers alongside individuals who choose not to work when drafting employment and welfare legislation? The diversity of circumstances among the NEET group suggests that no single intervention can serve as a panacea for youth disengagement.</w:t>
      </w:r>
    </w:p>
    <w:p w14:paraId="02C1D1A2" w14:textId="443BC45F" w:rsidR="00BB62E7" w:rsidRPr="00A05CD0" w:rsidRDefault="00BB62E7" w:rsidP="00557D5E">
      <w:pPr>
        <w:pStyle w:val="Figuretitle"/>
      </w:pPr>
      <w:bookmarkStart w:id="309" w:name="_Toc19001685"/>
      <w:r>
        <w:t xml:space="preserve">Table </w:t>
      </w:r>
      <w:r w:rsidR="00AD48D8">
        <w:t>28</w:t>
      </w:r>
      <w:r w:rsidR="00557D5E">
        <w:tab/>
      </w:r>
      <w:r>
        <w:t>Significant predictors of persistently NEET periods between ages 20</w:t>
      </w:r>
      <w:r w:rsidR="00ED2E41">
        <w:t xml:space="preserve"> and </w:t>
      </w:r>
      <w:r>
        <w:t>24</w:t>
      </w:r>
      <w:bookmarkEnd w:id="309"/>
    </w:p>
    <w:tbl>
      <w:tblPr>
        <w:tblStyle w:val="LightShading"/>
        <w:tblW w:w="0" w:type="auto"/>
        <w:tblLook w:val="06A0" w:firstRow="1" w:lastRow="0" w:firstColumn="1" w:lastColumn="0" w:noHBand="1" w:noVBand="1"/>
      </w:tblPr>
      <w:tblGrid>
        <w:gridCol w:w="4450"/>
        <w:gridCol w:w="1743"/>
        <w:gridCol w:w="1744"/>
      </w:tblGrid>
      <w:tr w:rsidR="00BB62E7" w14:paraId="6A366E13" w14:textId="77777777" w:rsidTr="00BF7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single" w:sz="6" w:space="0" w:color="000000" w:themeColor="text1"/>
              <w:bottom w:val="nil"/>
            </w:tcBorders>
          </w:tcPr>
          <w:p w14:paraId="6093E3BB" w14:textId="77777777" w:rsidR="00BB62E7" w:rsidRDefault="00BB62E7" w:rsidP="000B6FB4">
            <w:pPr>
              <w:pStyle w:val="BodyText"/>
              <w:spacing w:before="40" w:after="40" w:line="240" w:lineRule="auto"/>
            </w:pPr>
          </w:p>
        </w:tc>
        <w:tc>
          <w:tcPr>
            <w:tcW w:w="4031" w:type="dxa"/>
            <w:gridSpan w:val="2"/>
            <w:tcBorders>
              <w:top w:val="single" w:sz="6" w:space="0" w:color="000000" w:themeColor="text1"/>
              <w:bottom w:val="nil"/>
            </w:tcBorders>
          </w:tcPr>
          <w:p w14:paraId="24945966" w14:textId="77777777" w:rsidR="00BB62E7" w:rsidRPr="00A05CD0" w:rsidRDefault="00BB62E7" w:rsidP="000B6FB4">
            <w:pPr>
              <w:pStyle w:val="BodyT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Odds Ratios</w:t>
            </w:r>
          </w:p>
        </w:tc>
      </w:tr>
      <w:tr w:rsidR="00BB62E7" w14:paraId="43DB1E64" w14:textId="77777777" w:rsidTr="000B6FB4">
        <w:tc>
          <w:tcPr>
            <w:cnfStyle w:val="001000000000" w:firstRow="0" w:lastRow="0" w:firstColumn="1" w:lastColumn="0" w:oddVBand="0" w:evenVBand="0" w:oddHBand="0" w:evenHBand="0" w:firstRowFirstColumn="0" w:firstRowLastColumn="0" w:lastRowFirstColumn="0" w:lastRowLastColumn="0"/>
            <w:tcW w:w="5211" w:type="dxa"/>
            <w:tcBorders>
              <w:top w:val="nil"/>
              <w:bottom w:val="single" w:sz="4" w:space="0" w:color="auto"/>
            </w:tcBorders>
          </w:tcPr>
          <w:p w14:paraId="4529CECE" w14:textId="77777777" w:rsidR="00BB62E7" w:rsidRDefault="00BB62E7" w:rsidP="000B6FB4">
            <w:pPr>
              <w:pStyle w:val="BodyText"/>
              <w:spacing w:before="40" w:after="40" w:line="240" w:lineRule="auto"/>
            </w:pPr>
          </w:p>
        </w:tc>
        <w:tc>
          <w:tcPr>
            <w:tcW w:w="2015" w:type="dxa"/>
            <w:tcBorders>
              <w:top w:val="nil"/>
              <w:bottom w:val="single" w:sz="4" w:space="0" w:color="auto"/>
            </w:tcBorders>
          </w:tcPr>
          <w:p w14:paraId="6FEF90FF" w14:textId="77777777" w:rsidR="00BB62E7" w:rsidRPr="00A05CD0" w:rsidRDefault="00BB62E7" w:rsidP="000B6FB4">
            <w:pPr>
              <w:pStyle w:val="BodyT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rPr>
            </w:pPr>
            <w:r w:rsidRPr="00A05CD0">
              <w:rPr>
                <w:b/>
              </w:rPr>
              <w:t>Y03</w:t>
            </w:r>
          </w:p>
        </w:tc>
        <w:tc>
          <w:tcPr>
            <w:tcW w:w="2016" w:type="dxa"/>
            <w:tcBorders>
              <w:top w:val="nil"/>
              <w:bottom w:val="single" w:sz="4" w:space="0" w:color="auto"/>
            </w:tcBorders>
          </w:tcPr>
          <w:p w14:paraId="549A7082" w14:textId="77777777" w:rsidR="00BB62E7" w:rsidRPr="00A05CD0" w:rsidRDefault="00BB62E7" w:rsidP="000B6FB4">
            <w:pPr>
              <w:pStyle w:val="BodyT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rPr>
            </w:pPr>
            <w:r w:rsidRPr="00A05CD0">
              <w:rPr>
                <w:b/>
              </w:rPr>
              <w:t>Y06</w:t>
            </w:r>
          </w:p>
        </w:tc>
      </w:tr>
      <w:tr w:rsidR="00BB62E7" w14:paraId="2829A34D" w14:textId="77777777" w:rsidTr="000B6FB4">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tcBorders>
          </w:tcPr>
          <w:p w14:paraId="4829C323" w14:textId="6E823FD6" w:rsidR="00BB62E7" w:rsidRPr="00A05CD0" w:rsidRDefault="00BB62E7" w:rsidP="000B6FB4">
            <w:pPr>
              <w:pStyle w:val="BodyText"/>
              <w:spacing w:before="40" w:after="40" w:line="240" w:lineRule="auto"/>
              <w:rPr>
                <w:b w:val="0"/>
              </w:rPr>
            </w:pPr>
            <w:r w:rsidRPr="00A05CD0">
              <w:rPr>
                <w:b w:val="0"/>
              </w:rPr>
              <w:t>Had children between ages 15</w:t>
            </w:r>
            <w:r w:rsidR="00ED2E41">
              <w:rPr>
                <w:b w:val="0"/>
              </w:rPr>
              <w:t xml:space="preserve"> and </w:t>
            </w:r>
            <w:r w:rsidRPr="00A05CD0">
              <w:rPr>
                <w:b w:val="0"/>
              </w:rPr>
              <w:t>19</w:t>
            </w:r>
          </w:p>
        </w:tc>
        <w:tc>
          <w:tcPr>
            <w:tcW w:w="2015" w:type="dxa"/>
            <w:tcBorders>
              <w:top w:val="single" w:sz="4" w:space="0" w:color="auto"/>
            </w:tcBorders>
          </w:tcPr>
          <w:p w14:paraId="052FE345" w14:textId="77777777" w:rsidR="00BB62E7" w:rsidRDefault="00BB62E7" w:rsidP="000B6FB4">
            <w:pPr>
              <w:pStyle w:val="BodyText"/>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4.42</w:t>
            </w:r>
          </w:p>
        </w:tc>
        <w:tc>
          <w:tcPr>
            <w:tcW w:w="2016" w:type="dxa"/>
            <w:tcBorders>
              <w:top w:val="single" w:sz="4" w:space="0" w:color="auto"/>
            </w:tcBorders>
          </w:tcPr>
          <w:p w14:paraId="192E8178" w14:textId="77777777" w:rsidR="00BB62E7" w:rsidRDefault="00BB62E7" w:rsidP="000B6FB4">
            <w:pPr>
              <w:pStyle w:val="BodyText"/>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4.97</w:t>
            </w:r>
          </w:p>
        </w:tc>
      </w:tr>
      <w:tr w:rsidR="00BB62E7" w14:paraId="639FB3EE" w14:textId="77777777" w:rsidTr="000B6FB4">
        <w:tc>
          <w:tcPr>
            <w:cnfStyle w:val="001000000000" w:firstRow="0" w:lastRow="0" w:firstColumn="1" w:lastColumn="0" w:oddVBand="0" w:evenVBand="0" w:oddHBand="0" w:evenHBand="0" w:firstRowFirstColumn="0" w:firstRowLastColumn="0" w:lastRowFirstColumn="0" w:lastRowLastColumn="0"/>
            <w:tcW w:w="5211" w:type="dxa"/>
          </w:tcPr>
          <w:p w14:paraId="606A781E" w14:textId="5133668D" w:rsidR="00BB62E7" w:rsidRPr="00A05CD0" w:rsidRDefault="00BB62E7" w:rsidP="000B6FB4">
            <w:pPr>
              <w:pStyle w:val="BodyText"/>
              <w:spacing w:before="40" w:after="40" w:line="240" w:lineRule="auto"/>
              <w:rPr>
                <w:b w:val="0"/>
              </w:rPr>
            </w:pPr>
            <w:r w:rsidRPr="00A05CD0">
              <w:rPr>
                <w:b w:val="0"/>
              </w:rPr>
              <w:t>Persistently NEET period between ages 15</w:t>
            </w:r>
            <w:r w:rsidR="00ED2E41">
              <w:rPr>
                <w:b w:val="0"/>
              </w:rPr>
              <w:t xml:space="preserve"> and </w:t>
            </w:r>
            <w:r w:rsidRPr="00A05CD0">
              <w:rPr>
                <w:b w:val="0"/>
              </w:rPr>
              <w:t>19</w:t>
            </w:r>
          </w:p>
        </w:tc>
        <w:tc>
          <w:tcPr>
            <w:tcW w:w="2015" w:type="dxa"/>
          </w:tcPr>
          <w:p w14:paraId="6F8F0B1C" w14:textId="77777777" w:rsidR="00BB62E7" w:rsidRDefault="00BB62E7" w:rsidP="000B6FB4">
            <w:pPr>
              <w:pStyle w:val="BodyText"/>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3.03</w:t>
            </w:r>
          </w:p>
        </w:tc>
        <w:tc>
          <w:tcPr>
            <w:tcW w:w="2016" w:type="dxa"/>
          </w:tcPr>
          <w:p w14:paraId="5DAA26CF" w14:textId="77777777" w:rsidR="00BB62E7" w:rsidRDefault="00BB62E7" w:rsidP="000B6FB4">
            <w:pPr>
              <w:pStyle w:val="BodyText"/>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5.39</w:t>
            </w:r>
          </w:p>
        </w:tc>
      </w:tr>
      <w:tr w:rsidR="00BB62E7" w14:paraId="2C5D0B46" w14:textId="77777777" w:rsidTr="000B6FB4">
        <w:tc>
          <w:tcPr>
            <w:cnfStyle w:val="001000000000" w:firstRow="0" w:lastRow="0" w:firstColumn="1" w:lastColumn="0" w:oddVBand="0" w:evenVBand="0" w:oddHBand="0" w:evenHBand="0" w:firstRowFirstColumn="0" w:firstRowLastColumn="0" w:lastRowFirstColumn="0" w:lastRowLastColumn="0"/>
            <w:tcW w:w="5211" w:type="dxa"/>
          </w:tcPr>
          <w:p w14:paraId="00C69E69" w14:textId="77777777" w:rsidR="00BB62E7" w:rsidRPr="00A05CD0" w:rsidRDefault="00BB62E7" w:rsidP="000B6FB4">
            <w:pPr>
              <w:pStyle w:val="BodyText"/>
              <w:spacing w:before="40" w:after="40" w:line="240" w:lineRule="auto"/>
              <w:rPr>
                <w:b w:val="0"/>
              </w:rPr>
            </w:pPr>
            <w:r w:rsidRPr="00A05CD0">
              <w:rPr>
                <w:b w:val="0"/>
              </w:rPr>
              <w:t>Non-completion of year 12</w:t>
            </w:r>
          </w:p>
        </w:tc>
        <w:tc>
          <w:tcPr>
            <w:tcW w:w="2015" w:type="dxa"/>
          </w:tcPr>
          <w:p w14:paraId="5EB7D9AA" w14:textId="77777777" w:rsidR="00BB62E7" w:rsidRDefault="00BB62E7" w:rsidP="000B6FB4">
            <w:pPr>
              <w:pStyle w:val="BodyText"/>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2.24</w:t>
            </w:r>
          </w:p>
        </w:tc>
        <w:tc>
          <w:tcPr>
            <w:tcW w:w="2016" w:type="dxa"/>
          </w:tcPr>
          <w:p w14:paraId="4E263F73" w14:textId="77777777" w:rsidR="00BB62E7" w:rsidRDefault="00BB62E7" w:rsidP="000B6FB4">
            <w:pPr>
              <w:pStyle w:val="BodyText"/>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1.73</w:t>
            </w:r>
          </w:p>
        </w:tc>
      </w:tr>
      <w:tr w:rsidR="00BB62E7" w14:paraId="65745491" w14:textId="77777777" w:rsidTr="000B6FB4">
        <w:tc>
          <w:tcPr>
            <w:cnfStyle w:val="001000000000" w:firstRow="0" w:lastRow="0" w:firstColumn="1" w:lastColumn="0" w:oddVBand="0" w:evenVBand="0" w:oddHBand="0" w:evenHBand="0" w:firstRowFirstColumn="0" w:firstRowLastColumn="0" w:lastRowFirstColumn="0" w:lastRowLastColumn="0"/>
            <w:tcW w:w="5211" w:type="dxa"/>
          </w:tcPr>
          <w:p w14:paraId="088656DF" w14:textId="77777777" w:rsidR="00BB62E7" w:rsidRPr="00A05CD0" w:rsidRDefault="00BB62E7" w:rsidP="000B6FB4">
            <w:pPr>
              <w:pStyle w:val="BodyText"/>
              <w:spacing w:before="40" w:after="40" w:line="240" w:lineRule="auto"/>
              <w:rPr>
                <w:b w:val="0"/>
              </w:rPr>
            </w:pPr>
            <w:r w:rsidRPr="00A05CD0">
              <w:rPr>
                <w:b w:val="0"/>
              </w:rPr>
              <w:t>Lowest SES quartile (as compared with highest)</w:t>
            </w:r>
          </w:p>
        </w:tc>
        <w:tc>
          <w:tcPr>
            <w:tcW w:w="2015" w:type="dxa"/>
          </w:tcPr>
          <w:p w14:paraId="24BF65B5" w14:textId="77777777" w:rsidR="00BB62E7" w:rsidRDefault="00BB62E7" w:rsidP="000B6FB4">
            <w:pPr>
              <w:pStyle w:val="BodyText"/>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1.88</w:t>
            </w:r>
          </w:p>
        </w:tc>
        <w:tc>
          <w:tcPr>
            <w:tcW w:w="2016" w:type="dxa"/>
          </w:tcPr>
          <w:p w14:paraId="5DAD892C" w14:textId="77777777" w:rsidR="00BB62E7" w:rsidRDefault="00BB62E7" w:rsidP="000B6FB4">
            <w:pPr>
              <w:pStyle w:val="BodyText"/>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2.12</w:t>
            </w:r>
          </w:p>
        </w:tc>
      </w:tr>
      <w:tr w:rsidR="00BB62E7" w14:paraId="0991F374" w14:textId="77777777" w:rsidTr="00BF7284">
        <w:tc>
          <w:tcPr>
            <w:cnfStyle w:val="001000000000" w:firstRow="0" w:lastRow="0" w:firstColumn="1" w:lastColumn="0" w:oddVBand="0" w:evenVBand="0" w:oddHBand="0" w:evenHBand="0" w:firstRowFirstColumn="0" w:firstRowLastColumn="0" w:lastRowFirstColumn="0" w:lastRowLastColumn="0"/>
            <w:tcW w:w="5211" w:type="dxa"/>
            <w:tcBorders>
              <w:bottom w:val="single" w:sz="6" w:space="0" w:color="000000" w:themeColor="text1"/>
            </w:tcBorders>
          </w:tcPr>
          <w:p w14:paraId="3ADD3AFC" w14:textId="77777777" w:rsidR="00BB62E7" w:rsidRPr="00A05CD0" w:rsidRDefault="00BB62E7" w:rsidP="000B6FB4">
            <w:pPr>
              <w:pStyle w:val="BodyText"/>
              <w:spacing w:before="40" w:after="40" w:line="240" w:lineRule="auto"/>
              <w:rPr>
                <w:b w:val="0"/>
              </w:rPr>
            </w:pPr>
            <w:r w:rsidRPr="00A05CD0">
              <w:rPr>
                <w:b w:val="0"/>
              </w:rPr>
              <w:t>Female gender</w:t>
            </w:r>
          </w:p>
        </w:tc>
        <w:tc>
          <w:tcPr>
            <w:tcW w:w="2015" w:type="dxa"/>
            <w:tcBorders>
              <w:bottom w:val="single" w:sz="6" w:space="0" w:color="000000" w:themeColor="text1"/>
            </w:tcBorders>
          </w:tcPr>
          <w:p w14:paraId="542C9622" w14:textId="77777777" w:rsidR="00BB62E7" w:rsidRDefault="00BB62E7" w:rsidP="000B6FB4">
            <w:pPr>
              <w:pStyle w:val="BodyText"/>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1.89</w:t>
            </w:r>
          </w:p>
        </w:tc>
        <w:tc>
          <w:tcPr>
            <w:tcW w:w="2016" w:type="dxa"/>
            <w:tcBorders>
              <w:bottom w:val="single" w:sz="6" w:space="0" w:color="000000" w:themeColor="text1"/>
            </w:tcBorders>
          </w:tcPr>
          <w:p w14:paraId="4D888638" w14:textId="77777777" w:rsidR="00BB62E7" w:rsidRDefault="00BB62E7" w:rsidP="000B6FB4">
            <w:pPr>
              <w:pStyle w:val="BodyText"/>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w:t>
            </w:r>
          </w:p>
        </w:tc>
      </w:tr>
    </w:tbl>
    <w:p w14:paraId="3F356C34" w14:textId="77777777" w:rsidR="00BB62E7" w:rsidRDefault="00BB62E7" w:rsidP="00BB62E7">
      <w:pPr>
        <w:pStyle w:val="Heading2"/>
      </w:pPr>
      <w:bookmarkStart w:id="310" w:name="_Toc15048978"/>
      <w:bookmarkStart w:id="311" w:name="_Toc19803991"/>
      <w:r>
        <w:t>Summary</w:t>
      </w:r>
      <w:bookmarkEnd w:id="310"/>
      <w:bookmarkEnd w:id="311"/>
    </w:p>
    <w:p w14:paraId="7F84D02B" w14:textId="3CF32AA3" w:rsidR="00FD19A3" w:rsidRDefault="00BB62E7" w:rsidP="00E41DF7">
      <w:pPr>
        <w:pStyle w:val="Text"/>
      </w:pPr>
      <w:r>
        <w:t xml:space="preserve">These findings confirm in the Australian context effects which have been reported internationally relating to the risks and consequences of NEET periods. There are particularly high risks associated with persistent NEET periods during adolescence. Failure to complete </w:t>
      </w:r>
      <w:r w:rsidR="00ED2E41">
        <w:t>Y</w:t>
      </w:r>
      <w:r>
        <w:t>ear 12 and having children during adolescence appear to have the strongest effects on long-term outcomes. However, the diversity of the NEET group indicates that a range of targeted interventions may be necessary to address youth disengagement in its entirety. Furthermore, the possible effect of the GFC on NEET rates suggests that wider economic circumstances should be considered alongside individual choice when drafting policy solutions. The legitimacy of activities other than employment or education, such as childcare, must also be addressed in any future NEET discussions.</w:t>
      </w:r>
    </w:p>
    <w:p w14:paraId="57B781DC" w14:textId="77777777" w:rsidR="00FD19A3" w:rsidRDefault="00FD19A3">
      <w:pPr>
        <w:spacing w:before="0" w:line="240" w:lineRule="auto"/>
      </w:pPr>
      <w:r>
        <w:br w:type="page"/>
      </w:r>
    </w:p>
    <w:p w14:paraId="2532F430" w14:textId="77777777" w:rsidR="00BB62E7" w:rsidRDefault="00BB62E7" w:rsidP="00424844">
      <w:pPr>
        <w:pStyle w:val="Heading2"/>
        <w:spacing w:after="240"/>
      </w:pPr>
      <w:bookmarkStart w:id="312" w:name="_Toc15048979"/>
      <w:bookmarkStart w:id="313" w:name="_Toc19803992"/>
      <w:r>
        <w:lastRenderedPageBreak/>
        <w:t>References</w:t>
      </w:r>
      <w:bookmarkEnd w:id="312"/>
      <w:bookmarkEnd w:id="313"/>
    </w:p>
    <w:p w14:paraId="2ECEA4F0" w14:textId="38071542" w:rsidR="00BB62E7" w:rsidRPr="00465661" w:rsidRDefault="00BB62E7" w:rsidP="00424844">
      <w:pPr>
        <w:pStyle w:val="References"/>
      </w:pPr>
      <w:r>
        <w:t xml:space="preserve">Brynner, J &amp; Parsons, S 2002, ‘Social exclusion and the transition from school to work: the case of young people not in education, employment or training (NEET)’, </w:t>
      </w:r>
      <w:r>
        <w:rPr>
          <w:i/>
        </w:rPr>
        <w:t>Journal of Vocational Behaviour</w:t>
      </w:r>
      <w:r>
        <w:t>, vol.60, pp.289</w:t>
      </w:r>
      <w:r w:rsidR="004F286D">
        <w:t>−</w:t>
      </w:r>
      <w:r>
        <w:t>303.</w:t>
      </w:r>
    </w:p>
    <w:p w14:paraId="489A5A50" w14:textId="66D4BF2B" w:rsidR="00BB62E7" w:rsidRPr="00465661" w:rsidRDefault="00BB62E7" w:rsidP="00424844">
      <w:pPr>
        <w:pStyle w:val="References"/>
      </w:pPr>
      <w:r>
        <w:t>Furlong, A 2006, ‘Not a very NEET solution: representing problematic labour market transitions among early school-leaver</w:t>
      </w:r>
      <w:r w:rsidR="0000677B">
        <w:t>s</w:t>
      </w:r>
      <w:r>
        <w:t xml:space="preserve">’, </w:t>
      </w:r>
      <w:r>
        <w:rPr>
          <w:i/>
        </w:rPr>
        <w:t>Work, Employment and Society</w:t>
      </w:r>
      <w:r>
        <w:t>, vol.20, no.3, pp.553</w:t>
      </w:r>
      <w:r w:rsidR="004F286D">
        <w:t>−</w:t>
      </w:r>
      <w:r>
        <w:t>69.</w:t>
      </w:r>
    </w:p>
    <w:p w14:paraId="648781B5" w14:textId="1DA9A02E" w:rsidR="00BB62E7" w:rsidRDefault="00BB62E7" w:rsidP="00424844">
      <w:pPr>
        <w:pStyle w:val="References"/>
      </w:pPr>
      <w:proofErr w:type="spellStart"/>
      <w:r>
        <w:t>Quintini</w:t>
      </w:r>
      <w:proofErr w:type="spellEnd"/>
      <w:r>
        <w:t xml:space="preserve">, G, Martin, J &amp; Martin, S 2007, </w:t>
      </w:r>
      <w:r>
        <w:rPr>
          <w:i/>
        </w:rPr>
        <w:t>The changing nature of the school-to-work transition process in OECD countries</w:t>
      </w:r>
      <w:r>
        <w:t>, IZA discussion paper no.2582, IZA, Bonn, viewed 5 April 2016, &lt;http://ftp.iza.org/dp2582.pdf&gt;.</w:t>
      </w:r>
    </w:p>
    <w:p w14:paraId="3D87E401" w14:textId="6F18DD60" w:rsidR="00BB62E7" w:rsidRDefault="00BB62E7" w:rsidP="00424844">
      <w:pPr>
        <w:pStyle w:val="References"/>
      </w:pPr>
      <w:r>
        <w:t xml:space="preserve">Stanwick, J, Forrest, C &amp; </w:t>
      </w:r>
      <w:proofErr w:type="spellStart"/>
      <w:r>
        <w:t>Skujins</w:t>
      </w:r>
      <w:proofErr w:type="spellEnd"/>
      <w:r>
        <w:t xml:space="preserve">, P 2017, </w:t>
      </w:r>
      <w:r>
        <w:rPr>
          <w:i/>
        </w:rPr>
        <w:t>Who are the persistently NEET young people?</w:t>
      </w:r>
      <w:r>
        <w:t>, NCVER, Adelaide.</w:t>
      </w:r>
    </w:p>
    <w:p w14:paraId="3CB15B0F" w14:textId="77777777" w:rsidR="00E41DF7" w:rsidRDefault="00E41DF7" w:rsidP="00BB62E7">
      <w:pPr>
        <w:sectPr w:rsidR="00E41DF7" w:rsidSect="0010685D">
          <w:pgSz w:w="11907" w:h="16840" w:code="9"/>
          <w:pgMar w:top="1276" w:right="2552" w:bottom="851" w:left="1418" w:header="709" w:footer="556" w:gutter="0"/>
          <w:cols w:space="708"/>
          <w:docGrid w:linePitch="360"/>
        </w:sectPr>
      </w:pPr>
    </w:p>
    <w:p w14:paraId="007F8060" w14:textId="22590BED" w:rsidR="009913C2" w:rsidRDefault="00E41DF7" w:rsidP="00E612BF">
      <w:pPr>
        <w:pStyle w:val="Heading1"/>
      </w:pPr>
      <w:bookmarkStart w:id="314" w:name="_Toc19803993"/>
      <w:r>
        <w:lastRenderedPageBreak/>
        <w:t xml:space="preserve">Section </w:t>
      </w:r>
      <w:r w:rsidR="004D59CF">
        <w:t>6</w:t>
      </w:r>
      <w:r>
        <w:t xml:space="preserve">: </w:t>
      </w:r>
      <w:r w:rsidR="00781746">
        <w:t>A</w:t>
      </w:r>
      <w:r w:rsidR="003E0AEE">
        <w:t>n overv</w:t>
      </w:r>
      <w:r w:rsidR="000B6FB4">
        <w:t>iew of school-to-work transitions</w:t>
      </w:r>
      <w:bookmarkEnd w:id="314"/>
    </w:p>
    <w:p w14:paraId="78616528" w14:textId="650F46D4" w:rsidR="00ED5BC4" w:rsidRPr="00B44E57" w:rsidRDefault="000B6FB4" w:rsidP="00ED5BC4">
      <w:pPr>
        <w:pStyle w:val="Text"/>
      </w:pPr>
      <w:r w:rsidRPr="00B44E57">
        <w:t xml:space="preserve">As this </w:t>
      </w:r>
      <w:r w:rsidR="007A3896" w:rsidRPr="00B44E57">
        <w:t>collection of papers</w:t>
      </w:r>
      <w:r w:rsidR="00781746" w:rsidRPr="00B44E57">
        <w:t xml:space="preserve"> has shown</w:t>
      </w:r>
      <w:r w:rsidRPr="00B44E57">
        <w:t>, LSAY data and research findings demonstrate that transitions of young people in Australia continue to change</w:t>
      </w:r>
      <w:r w:rsidR="00C818C1" w:rsidRPr="00B44E57">
        <w:t xml:space="preserve"> </w:t>
      </w:r>
      <w:r w:rsidR="007B768D" w:rsidRPr="00B44E57">
        <w:t>over time</w:t>
      </w:r>
      <w:r w:rsidR="00110420" w:rsidRPr="00B44E57">
        <w:t>, signalling the</w:t>
      </w:r>
      <w:r w:rsidRPr="00B44E57">
        <w:t xml:space="preserve"> considerable need for longitudinal research to guide the development of youth policy.</w:t>
      </w:r>
    </w:p>
    <w:p w14:paraId="30180805" w14:textId="0525E151" w:rsidR="00F76D36" w:rsidRPr="00B44E57" w:rsidRDefault="00F76D36" w:rsidP="00ED5BC4">
      <w:pPr>
        <w:pStyle w:val="Text"/>
      </w:pPr>
      <w:r w:rsidRPr="00B44E57">
        <w:t>The Global Financial Crisis of 2008 had a significant impact on full-time employment rates. This was especially true for younger people</w:t>
      </w:r>
      <w:r w:rsidR="000D6CF0" w:rsidRPr="00B44E57">
        <w:t>:</w:t>
      </w:r>
      <w:r w:rsidRPr="00B44E57">
        <w:t xml:space="preserve"> the proportion of young pe</w:t>
      </w:r>
      <w:r w:rsidR="00110420" w:rsidRPr="00B44E57">
        <w:t>ople</w:t>
      </w:r>
      <w:r w:rsidRPr="00B44E57">
        <w:t xml:space="preserve"> in full-time employment has decreased</w:t>
      </w:r>
      <w:r w:rsidR="000D6CF0" w:rsidRPr="00B44E57">
        <w:t>,</w:t>
      </w:r>
      <w:r w:rsidRPr="00B44E57">
        <w:t xml:space="preserve"> while the number in part-time employment has increased (NCVER </w:t>
      </w:r>
      <w:r w:rsidR="000C6AB3" w:rsidRPr="00B44E57">
        <w:t>2014)</w:t>
      </w:r>
      <w:r w:rsidRPr="00B44E57">
        <w:t xml:space="preserve">. The proportion of those not in the labour force has also increased. Comparisons across the Y95, Y98, Y03 and Y06 cohorts show a decline in the number of young people gaining their first full-time job by the age of 21 (NCVER 2014), although this may be due in some part to increasing rates of participation in </w:t>
      </w:r>
      <w:r w:rsidR="000C6AB3" w:rsidRPr="00B44E57">
        <w:t>education.</w:t>
      </w:r>
    </w:p>
    <w:p w14:paraId="6D3E5136" w14:textId="75F0A254" w:rsidR="000B6FB4" w:rsidRPr="00B44E57" w:rsidRDefault="000B6FB4" w:rsidP="00ED5BC4">
      <w:pPr>
        <w:pStyle w:val="Text"/>
      </w:pPr>
      <w:r w:rsidRPr="00B44E57">
        <w:t>The richness of the LSAY data has made it suitable for sophisticated types of analys</w:t>
      </w:r>
      <w:r w:rsidR="000D6CF0" w:rsidRPr="00B44E57">
        <w:t>e</w:t>
      </w:r>
      <w:r w:rsidRPr="00B44E57">
        <w:t xml:space="preserve">s, such as the sequence analysis methods used in the final paper presented in this collection. Ranasinghe and Chew have used sequence analysis across the whole dataset of the Y06 cohort. </w:t>
      </w:r>
      <w:r w:rsidR="008D617E" w:rsidRPr="00B44E57">
        <w:t>The d</w:t>
      </w:r>
      <w:r w:rsidR="00237DEE" w:rsidRPr="00B44E57">
        <w:t xml:space="preserve">iscussion </w:t>
      </w:r>
      <w:r w:rsidR="008D617E" w:rsidRPr="00B44E57">
        <w:t>presented in</w:t>
      </w:r>
      <w:r w:rsidR="00237DEE" w:rsidRPr="00B44E57">
        <w:t xml:space="preserve"> the paper demonstrate</w:t>
      </w:r>
      <w:r w:rsidR="008D617E" w:rsidRPr="00B44E57">
        <w:t>s</w:t>
      </w:r>
      <w:r w:rsidR="00237DEE" w:rsidRPr="00B44E57">
        <w:t xml:space="preserve"> the importance of </w:t>
      </w:r>
      <w:r w:rsidR="007F36AD" w:rsidRPr="00B44E57">
        <w:t>vocational education and training (</w:t>
      </w:r>
      <w:r w:rsidR="00237DEE" w:rsidRPr="00B44E57">
        <w:t>VET</w:t>
      </w:r>
      <w:r w:rsidR="007F36AD" w:rsidRPr="00B44E57">
        <w:t>)</w:t>
      </w:r>
      <w:r w:rsidR="00AF4AB2" w:rsidRPr="00B44E57">
        <w:t xml:space="preserve"> in providing pathways to employment</w:t>
      </w:r>
      <w:r w:rsidR="008D617E" w:rsidRPr="00B44E57">
        <w:t>,</w:t>
      </w:r>
      <w:r w:rsidR="00237DEE" w:rsidRPr="00B44E57">
        <w:t xml:space="preserve"> while also showing the impact of labour market fluctuation and inciden</w:t>
      </w:r>
      <w:r w:rsidR="007B768D" w:rsidRPr="00B44E57">
        <w:t>ce</w:t>
      </w:r>
      <w:r w:rsidR="00237DEE" w:rsidRPr="00B44E57">
        <w:t xml:space="preserve"> rates of those who </w:t>
      </w:r>
      <w:r w:rsidR="00AF4AB2" w:rsidRPr="00B44E57">
        <w:t>experience longer periods of being</w:t>
      </w:r>
      <w:r w:rsidR="007F36AD" w:rsidRPr="00B44E57">
        <w:t xml:space="preserve"> not in education, employment or training</w:t>
      </w:r>
      <w:r w:rsidR="00AF4AB2" w:rsidRPr="00B44E57">
        <w:t xml:space="preserve"> </w:t>
      </w:r>
      <w:r w:rsidR="007F36AD" w:rsidRPr="00B44E57">
        <w:t>(</w:t>
      </w:r>
      <w:r w:rsidR="00237DEE" w:rsidRPr="00B44E57">
        <w:t>NEET</w:t>
      </w:r>
      <w:r w:rsidR="007F36AD" w:rsidRPr="00B44E57">
        <w:t>)</w:t>
      </w:r>
      <w:r w:rsidR="00237DEE" w:rsidRPr="00B44E57">
        <w:t xml:space="preserve">. </w:t>
      </w:r>
    </w:p>
    <w:p w14:paraId="08AA5B25" w14:textId="2B906A93" w:rsidR="000C6AB3" w:rsidRPr="000C6AB3" w:rsidRDefault="000C6AB3" w:rsidP="006531FD">
      <w:pPr>
        <w:pStyle w:val="Heading2"/>
        <w:spacing w:after="240"/>
      </w:pPr>
      <w:bookmarkStart w:id="315" w:name="_Toc15048981"/>
      <w:bookmarkStart w:id="316" w:name="_Toc19803994"/>
      <w:r w:rsidRPr="000C6AB3">
        <w:t>Reference</w:t>
      </w:r>
      <w:bookmarkEnd w:id="315"/>
      <w:bookmarkEnd w:id="316"/>
    </w:p>
    <w:p w14:paraId="58EC6355" w14:textId="6FCAD889" w:rsidR="000C6AB3" w:rsidRDefault="000C6AB3" w:rsidP="006531FD">
      <w:pPr>
        <w:pStyle w:val="References"/>
        <w:rPr>
          <w:i/>
        </w:rPr>
      </w:pPr>
      <w:r w:rsidRPr="00685BEE">
        <w:t xml:space="preserve">NCVER </w:t>
      </w:r>
      <w:r w:rsidR="006A35DF">
        <w:rPr>
          <w:iCs/>
        </w:rPr>
        <w:t xml:space="preserve">(National Centre for Vocational Education Research) </w:t>
      </w:r>
      <w:r w:rsidRPr="008D617E">
        <w:rPr>
          <w:iCs/>
        </w:rPr>
        <w:t>2014</w:t>
      </w:r>
      <w:r>
        <w:rPr>
          <w:i/>
        </w:rPr>
        <w:t xml:space="preserve">, </w:t>
      </w:r>
      <w:r w:rsidRPr="00685BEE">
        <w:rPr>
          <w:i/>
        </w:rPr>
        <w:t>Youth transitions in Australia: a moving picture</w:t>
      </w:r>
      <w:r>
        <w:t xml:space="preserve">, </w:t>
      </w:r>
      <w:r w:rsidR="00BB0562" w:rsidRPr="00685BEE">
        <w:t>R</w:t>
      </w:r>
      <w:r w:rsidR="006A35DF" w:rsidRPr="00685BEE">
        <w:t xml:space="preserve">esearch </w:t>
      </w:r>
      <w:r w:rsidR="006A35DF" w:rsidRPr="00BB0562">
        <w:rPr>
          <w:iCs/>
        </w:rPr>
        <w:t>summary</w:t>
      </w:r>
      <w:r>
        <w:rPr>
          <w:i/>
        </w:rPr>
        <w:t xml:space="preserve">, </w:t>
      </w:r>
      <w:r>
        <w:t>NCVER, Adelaide.</w:t>
      </w:r>
    </w:p>
    <w:p w14:paraId="431FD9E3" w14:textId="4E491446" w:rsidR="00ED5BC4" w:rsidRDefault="00ED5BC4">
      <w:pPr>
        <w:spacing w:before="0" w:line="240" w:lineRule="auto"/>
      </w:pPr>
      <w:r>
        <w:br w:type="page"/>
      </w:r>
    </w:p>
    <w:p w14:paraId="0AF62896" w14:textId="1D793107" w:rsidR="000C6AB3" w:rsidRDefault="000C6AB3" w:rsidP="00E612BF">
      <w:pPr>
        <w:pStyle w:val="Heading1"/>
      </w:pPr>
      <w:bookmarkStart w:id="317" w:name="_Toc19803995"/>
      <w:r>
        <w:lastRenderedPageBreak/>
        <w:t>School-to-work transitions: untangling the pathways</w:t>
      </w:r>
      <w:bookmarkEnd w:id="317"/>
      <w:r w:rsidR="001B7C4A">
        <w:t xml:space="preserve"> </w:t>
      </w:r>
    </w:p>
    <w:p w14:paraId="207FBCCA" w14:textId="5E80AA7B" w:rsidR="000C6AB3" w:rsidRPr="00685BEE" w:rsidRDefault="000C6AB3" w:rsidP="000C6AB3">
      <w:pPr>
        <w:pStyle w:val="Text"/>
        <w:rPr>
          <w:i/>
          <w:sz w:val="22"/>
          <w:szCs w:val="22"/>
        </w:rPr>
      </w:pPr>
      <w:r w:rsidRPr="00685BEE">
        <w:rPr>
          <w:i/>
          <w:sz w:val="22"/>
          <w:szCs w:val="22"/>
        </w:rPr>
        <w:t>Rasika Ranasinghe</w:t>
      </w:r>
      <w:r w:rsidR="00D12EF8">
        <w:rPr>
          <w:i/>
          <w:sz w:val="22"/>
          <w:szCs w:val="22"/>
        </w:rPr>
        <w:t>, Office of the South Australian Productivity Commission (OSAPC)</w:t>
      </w:r>
      <w:r w:rsidRPr="00685BEE">
        <w:rPr>
          <w:i/>
          <w:sz w:val="22"/>
          <w:szCs w:val="22"/>
        </w:rPr>
        <w:t xml:space="preserve"> </w:t>
      </w:r>
      <w:r w:rsidR="00D12EF8">
        <w:rPr>
          <w:i/>
          <w:sz w:val="22"/>
          <w:szCs w:val="22"/>
        </w:rPr>
        <w:br/>
      </w:r>
      <w:r w:rsidRPr="00685BEE">
        <w:rPr>
          <w:i/>
          <w:sz w:val="22"/>
          <w:szCs w:val="22"/>
        </w:rPr>
        <w:t xml:space="preserve">Emerick Chew, </w:t>
      </w:r>
      <w:r w:rsidR="008B6560">
        <w:rPr>
          <w:i/>
          <w:sz w:val="22"/>
          <w:szCs w:val="22"/>
        </w:rPr>
        <w:t>NCVER</w:t>
      </w:r>
    </w:p>
    <w:p w14:paraId="7AC0609B" w14:textId="29D57FDD" w:rsidR="004A3F4D" w:rsidRDefault="004A3F4D" w:rsidP="004A3F4D">
      <w:pPr>
        <w:pStyle w:val="Text"/>
      </w:pPr>
      <w:r>
        <w:t>It is well established that a successful transition to the labour market has long-term social and economic implications at the individual and societal level. However, the journey</w:t>
      </w:r>
      <w:r w:rsidRPr="00D55B8F">
        <w:t xml:space="preserve"> from education to </w:t>
      </w:r>
      <w:r>
        <w:t>the world of work</w:t>
      </w:r>
      <w:r w:rsidRPr="00D55B8F">
        <w:t xml:space="preserve"> is no</w:t>
      </w:r>
      <w:r>
        <w:t xml:space="preserve"> longer </w:t>
      </w:r>
      <w:r w:rsidRPr="00D55B8F">
        <w:t xml:space="preserve">linear or </w:t>
      </w:r>
      <w:r>
        <w:t>straightforward. Increasingly, young people spend more time in initial education</w:t>
      </w:r>
      <w:r w:rsidR="00064634">
        <w:t>,</w:t>
      </w:r>
      <w:r>
        <w:t xml:space="preserve"> delay entry to the labour market and move between an assortment of part-time or temporary jobs. </w:t>
      </w:r>
      <w:r w:rsidR="00DE0F66">
        <w:t>The</w:t>
      </w:r>
      <w:r>
        <w:t xml:space="preserve"> growing complexity of school-to-work transitions</w:t>
      </w:r>
      <w:r w:rsidR="00DE0F66">
        <w:t xml:space="preserve"> means that</w:t>
      </w:r>
      <w:r>
        <w:t xml:space="preserve"> they need to be understood as a process and not </w:t>
      </w:r>
      <w:r w:rsidR="003147FA">
        <w:t>merely</w:t>
      </w:r>
      <w:r>
        <w:t xml:space="preserve"> as single</w:t>
      </w:r>
      <w:r w:rsidR="00FC3CAF">
        <w:t xml:space="preserve"> </w:t>
      </w:r>
      <w:r>
        <w:t>events.</w:t>
      </w:r>
    </w:p>
    <w:p w14:paraId="605ADF21" w14:textId="08B8FD68" w:rsidR="004A3F4D" w:rsidRDefault="004A3F4D" w:rsidP="00836C9D">
      <w:pPr>
        <w:pStyle w:val="Text"/>
      </w:pPr>
      <w:r>
        <w:t>This study aims to provide an alternative to conventional point-in-time analyses by capturing the full richness of the transition experience</w:t>
      </w:r>
      <w:r w:rsidR="00DD582D">
        <w:t>,</w:t>
      </w:r>
      <w:r>
        <w:t xml:space="preserve"> both visually and analytically. By identifying</w:t>
      </w:r>
      <w:r w:rsidRPr="00887792">
        <w:t xml:space="preserve"> the different types of pathways</w:t>
      </w:r>
      <w:r>
        <w:t xml:space="preserve"> taken by young people </w:t>
      </w:r>
      <w:r w:rsidRPr="00887792">
        <w:t>in their journey from school to work</w:t>
      </w:r>
      <w:r>
        <w:t>,</w:t>
      </w:r>
      <w:r w:rsidRPr="00887792">
        <w:t xml:space="preserve"> </w:t>
      </w:r>
      <w:r>
        <w:t xml:space="preserve">this research presents a typology of transitions and investigates </w:t>
      </w:r>
      <w:r w:rsidR="00DD582D">
        <w:t xml:space="preserve">the </w:t>
      </w:r>
      <w:r w:rsidRPr="00887792">
        <w:t xml:space="preserve">possible </w:t>
      </w:r>
      <w:r>
        <w:t xml:space="preserve">factors </w:t>
      </w:r>
      <w:r w:rsidRPr="00C32A7C">
        <w:t>associated with the</w:t>
      </w:r>
      <w:r w:rsidRPr="00887792">
        <w:t xml:space="preserve"> different pathways and their implications for labour market, education and social poli</w:t>
      </w:r>
      <w:r>
        <w:t>cy</w:t>
      </w:r>
      <w:r w:rsidRPr="00887792">
        <w:t>.</w:t>
      </w:r>
      <w:bookmarkStart w:id="318" w:name="_Toc296423685"/>
      <w:bookmarkStart w:id="319" w:name="_Toc296497519"/>
      <w:bookmarkStart w:id="320" w:name="_Toc298162804"/>
    </w:p>
    <w:p w14:paraId="192ECF5B" w14:textId="588E9562" w:rsidR="004A3F4D" w:rsidRDefault="004A3F4D" w:rsidP="00891D17">
      <w:pPr>
        <w:pStyle w:val="Heading2"/>
      </w:pPr>
      <w:bookmarkStart w:id="321" w:name="_Toc15048983"/>
      <w:bookmarkStart w:id="322" w:name="_Toc19803996"/>
      <w:r w:rsidRPr="00DA1020">
        <w:t>Sequence analysis approach to youth transitions</w:t>
      </w:r>
      <w:r>
        <w:t xml:space="preserve"> </w:t>
      </w:r>
      <w:r w:rsidR="00DD582D">
        <w:rPr>
          <w:rFonts w:cs="Arial"/>
        </w:rPr>
        <w:t>−</w:t>
      </w:r>
      <w:r>
        <w:t xml:space="preserve"> an overview</w:t>
      </w:r>
      <w:bookmarkEnd w:id="321"/>
      <w:bookmarkEnd w:id="322"/>
    </w:p>
    <w:p w14:paraId="33D58BC9" w14:textId="3CBCACA2" w:rsidR="004A3F4D" w:rsidRDefault="004A3F4D" w:rsidP="00836C9D">
      <w:pPr>
        <w:pStyle w:val="Text"/>
      </w:pPr>
      <w:r>
        <w:t>Sequence analysis method</w:t>
      </w:r>
      <w:r w:rsidR="00DD0A09">
        <w:t>ology</w:t>
      </w:r>
      <w:r>
        <w:t xml:space="preserve"> w</w:t>
      </w:r>
      <w:r w:rsidR="00690C3D">
        <w:t>as</w:t>
      </w:r>
      <w:r>
        <w:t xml:space="preserve"> first used in the biological sciences and is a relatively recent approach to analysing labour market transitions. </w:t>
      </w:r>
      <w:r w:rsidR="00B74640">
        <w:t>Sequence analysis methods</w:t>
      </w:r>
      <w:r w:rsidRPr="0075679B">
        <w:t xml:space="preserve"> </w:t>
      </w:r>
      <w:r>
        <w:t>consider</w:t>
      </w:r>
      <w:r w:rsidRPr="0075679B">
        <w:t xml:space="preserve"> multiple transitions simultaneously</w:t>
      </w:r>
      <w:r w:rsidR="00720AA9">
        <w:t>,</w:t>
      </w:r>
      <w:r w:rsidRPr="0075679B">
        <w:t xml:space="preserve"> as well as their complexity and timing, allowing a fuller </w:t>
      </w:r>
      <w:r w:rsidR="00720AA9">
        <w:t>understanding</w:t>
      </w:r>
      <w:r w:rsidRPr="0075679B">
        <w:t xml:space="preserve"> of the entire process.</w:t>
      </w:r>
      <w:r>
        <w:t xml:space="preserve"> </w:t>
      </w:r>
    </w:p>
    <w:p w14:paraId="22605A90" w14:textId="23AC6636" w:rsidR="004A3F4D" w:rsidRDefault="004A3F4D" w:rsidP="00836C9D">
      <w:pPr>
        <w:pStyle w:val="Text"/>
      </w:pPr>
      <w:r>
        <w:t>Some example</w:t>
      </w:r>
      <w:r w:rsidR="008B6560">
        <w:t>s</w:t>
      </w:r>
      <w:r>
        <w:t xml:space="preserve"> of studies that incorporate sequence analysis in exploring youth transitions include Dorsett and </w:t>
      </w:r>
      <w:proofErr w:type="spellStart"/>
      <w:r>
        <w:t>Luccino</w:t>
      </w:r>
      <w:proofErr w:type="spellEnd"/>
      <w:r>
        <w:t xml:space="preserve"> (2014), </w:t>
      </w:r>
      <w:proofErr w:type="spellStart"/>
      <w:r>
        <w:t>Schoon</w:t>
      </w:r>
      <w:proofErr w:type="spellEnd"/>
      <w:r>
        <w:t xml:space="preserve"> and Lyons-Amos (2016) and Anders and Dorsett (2017) for the UK, and McVicar and </w:t>
      </w:r>
      <w:proofErr w:type="spellStart"/>
      <w:r>
        <w:t>Anyadike</w:t>
      </w:r>
      <w:proofErr w:type="spellEnd"/>
      <w:r>
        <w:t>-Danes (2002) for Northern Ireland. They identify the different pathway</w:t>
      </w:r>
      <w:r w:rsidR="003E3B6F">
        <w:t>s</w:t>
      </w:r>
      <w:r>
        <w:t xml:space="preserve"> taken by young people and the factors that determine them. An emerging common </w:t>
      </w:r>
      <w:r w:rsidR="008A620B">
        <w:t xml:space="preserve">theme </w:t>
      </w:r>
      <w:r>
        <w:t xml:space="preserve">amongst them is that entrenched disadvantages can </w:t>
      </w:r>
      <w:r w:rsidR="00E73977">
        <w:t>push</w:t>
      </w:r>
      <w:r>
        <w:t xml:space="preserve"> young people into long-term unemployment or disengagement and social exclusion. </w:t>
      </w:r>
      <w:r w:rsidR="00E73977">
        <w:t>The s</w:t>
      </w:r>
      <w:r>
        <w:t xml:space="preserve">pecific risk factors identified include low education attainment, early marriage or child bearing, and </w:t>
      </w:r>
      <w:r w:rsidR="00E73977">
        <w:t>coming</w:t>
      </w:r>
      <w:r>
        <w:t xml:space="preserve"> from a disadvantaged socioeconomic background.</w:t>
      </w:r>
    </w:p>
    <w:p w14:paraId="657F1728" w14:textId="7FDC8FEC" w:rsidR="004A3F4D" w:rsidRDefault="00FF36E1" w:rsidP="00836C9D">
      <w:pPr>
        <w:pStyle w:val="Text"/>
      </w:pPr>
      <w:r>
        <w:t>O</w:t>
      </w:r>
      <w:r w:rsidR="004A3F4D">
        <w:t xml:space="preserve">ne of the few studies that uses sequence analysis for labour market transitions in Australia </w:t>
      </w:r>
      <w:r>
        <w:t>and</w:t>
      </w:r>
      <w:r w:rsidR="004A3F4D">
        <w:t xml:space="preserve"> also has a youth focus</w:t>
      </w:r>
      <w:r>
        <w:t xml:space="preserve"> is that by</w:t>
      </w:r>
      <w:r w:rsidR="004A3F4D">
        <w:t xml:space="preserve"> </w:t>
      </w:r>
      <w:r>
        <w:t xml:space="preserve">Fry and Boulton (2013). </w:t>
      </w:r>
      <w:r w:rsidR="004A3F4D">
        <w:t>The</w:t>
      </w:r>
      <w:r w:rsidR="009D42CF">
        <w:t>ir work</w:t>
      </w:r>
      <w:r w:rsidR="004A3F4D">
        <w:t xml:space="preserve"> provide</w:t>
      </w:r>
      <w:r w:rsidR="009D42CF">
        <w:t>s</w:t>
      </w:r>
      <w:r w:rsidR="004A3F4D">
        <w:t xml:space="preserve"> a descriptive analysis of </w:t>
      </w:r>
      <w:r w:rsidR="00F9579A">
        <w:t xml:space="preserve">the </w:t>
      </w:r>
      <w:r w:rsidR="004A3F4D">
        <w:t>transition pathways in Australia that are likely to evolve over the life cycle</w:t>
      </w:r>
      <w:r w:rsidR="00714072">
        <w:t>.</w:t>
      </w:r>
      <w:r w:rsidR="004A3F4D">
        <w:t xml:space="preserve"> </w:t>
      </w:r>
      <w:r w:rsidR="00714072">
        <w:t>U</w:t>
      </w:r>
      <w:r w:rsidR="004A3F4D">
        <w:t>sing</w:t>
      </w:r>
      <w:r w:rsidR="008B6560">
        <w:t xml:space="preserve"> the Household, Income and Labour Dynamics in Australia</w:t>
      </w:r>
      <w:r w:rsidR="004A3F4D">
        <w:t xml:space="preserve"> </w:t>
      </w:r>
      <w:r w:rsidR="008B6560">
        <w:t>(</w:t>
      </w:r>
      <w:r w:rsidR="004A3F4D">
        <w:t>HILDA</w:t>
      </w:r>
      <w:r w:rsidR="008B6560">
        <w:t>) survey</w:t>
      </w:r>
      <w:r w:rsidR="004A3F4D">
        <w:t xml:space="preserve"> data</w:t>
      </w:r>
      <w:r w:rsidR="00714072">
        <w:t>, they</w:t>
      </w:r>
      <w:r w:rsidR="004A3F4D">
        <w:t xml:space="preserve"> identify five pathways: three associated with increasing education levels and transitions to work; one associated with churning in and out of work; and one dominated by young women withdrawing from the labour force to raise children. Their findings indicate that churning </w:t>
      </w:r>
      <w:r w:rsidR="00571FF2">
        <w:t>in and out of</w:t>
      </w:r>
      <w:r w:rsidR="004A3F4D">
        <w:t xml:space="preserve"> work is the dominant pathway for youths</w:t>
      </w:r>
      <w:r w:rsidR="00F9579A">
        <w:t>,</w:t>
      </w:r>
      <w:r w:rsidR="004A3F4D">
        <w:t xml:space="preserve"> representing about 52% of all youths in the study. They however do not extend the analysis to identify potential risk factors for certain types of pathway</w:t>
      </w:r>
      <w:r w:rsidR="008A620B">
        <w:t>s</w:t>
      </w:r>
      <w:r w:rsidR="004A3F4D">
        <w:t xml:space="preserve">. The current study aims to fill that research gap </w:t>
      </w:r>
      <w:r w:rsidR="004A3F4D">
        <w:lastRenderedPageBreak/>
        <w:t>by providing an in-depth analysis of youth using LSAY data to</w:t>
      </w:r>
      <w:r w:rsidR="00F34742">
        <w:t xml:space="preserve"> </w:t>
      </w:r>
      <w:r w:rsidR="004A3F4D">
        <w:t xml:space="preserve">identify a typology of pathways and </w:t>
      </w:r>
      <w:r w:rsidR="00FC3CAF">
        <w:t>possible associated factors</w:t>
      </w:r>
      <w:r w:rsidR="004A3F4D">
        <w:t>.</w:t>
      </w:r>
    </w:p>
    <w:p w14:paraId="7078F39D" w14:textId="77777777" w:rsidR="004A3F4D" w:rsidRPr="00954828" w:rsidRDefault="004A3F4D" w:rsidP="00836C9D">
      <w:pPr>
        <w:pStyle w:val="Heading2"/>
      </w:pPr>
      <w:bookmarkStart w:id="323" w:name="_Toc528156293"/>
      <w:bookmarkStart w:id="324" w:name="_Toc15048984"/>
      <w:bookmarkStart w:id="325" w:name="_Toc19803997"/>
      <w:bookmarkStart w:id="326" w:name="_Hlk522278280"/>
      <w:r w:rsidRPr="00954828">
        <w:t>Data and methodology</w:t>
      </w:r>
      <w:bookmarkEnd w:id="323"/>
      <w:bookmarkEnd w:id="324"/>
      <w:bookmarkEnd w:id="325"/>
    </w:p>
    <w:p w14:paraId="6B26BC07" w14:textId="29908D36" w:rsidR="004A3F4D" w:rsidRDefault="004A3F4D" w:rsidP="00836C9D">
      <w:pPr>
        <w:pStyle w:val="Text"/>
        <w:rPr>
          <w:lang w:eastAsia="en-AU"/>
        </w:rPr>
      </w:pPr>
      <w:bookmarkStart w:id="327" w:name="_Hlk522278320"/>
      <w:bookmarkEnd w:id="326"/>
      <w:r>
        <w:t xml:space="preserve">The analysis is based on data from the </w:t>
      </w:r>
      <w:r w:rsidRPr="00021004">
        <w:t>2006 cohort of the Longitudinal Surveys of Australian Youth</w:t>
      </w:r>
      <w:r w:rsidR="008B6560">
        <w:t xml:space="preserve"> (LSAY)</w:t>
      </w:r>
      <w:r>
        <w:t xml:space="preserve">, </w:t>
      </w:r>
      <w:r w:rsidRPr="00021004">
        <w:t>a nationally representative survey that tracks 15-year</w:t>
      </w:r>
      <w:r w:rsidR="00F34742">
        <w:t>-</w:t>
      </w:r>
      <w:r w:rsidRPr="00021004">
        <w:t xml:space="preserve">old students as they move from school to further education or other destinations until they are 25 years of </w:t>
      </w:r>
      <w:r w:rsidRPr="00487C28">
        <w:t xml:space="preserve">age.  </w:t>
      </w:r>
      <w:r w:rsidRPr="00487C28">
        <w:rPr>
          <w:lang w:eastAsia="en-AU"/>
        </w:rPr>
        <w:t>The first wave of the 2006 cohort consist</w:t>
      </w:r>
      <w:r w:rsidR="00804E1F">
        <w:rPr>
          <w:lang w:eastAsia="en-AU"/>
        </w:rPr>
        <w:t>s</w:t>
      </w:r>
      <w:r w:rsidRPr="00487C28">
        <w:rPr>
          <w:lang w:eastAsia="en-AU"/>
        </w:rPr>
        <w:t xml:space="preserve"> of 14</w:t>
      </w:r>
      <w:r w:rsidR="00804E1F">
        <w:rPr>
          <w:lang w:eastAsia="en-AU"/>
        </w:rPr>
        <w:t xml:space="preserve"> </w:t>
      </w:r>
      <w:r w:rsidRPr="00487C28">
        <w:rPr>
          <w:lang w:eastAsia="en-AU"/>
        </w:rPr>
        <w:t>170 students from across Australia who participated in</w:t>
      </w:r>
      <w:r>
        <w:rPr>
          <w:lang w:eastAsia="en-AU"/>
        </w:rPr>
        <w:t xml:space="preserve"> </w:t>
      </w:r>
      <w:r w:rsidR="00B06ABD">
        <w:rPr>
          <w:lang w:eastAsia="en-AU"/>
        </w:rPr>
        <w:t xml:space="preserve">the </w:t>
      </w:r>
      <w:r w:rsidR="00B06ABD">
        <w:t>Programme for International Student Assessment (</w:t>
      </w:r>
      <w:r w:rsidRPr="00487C28">
        <w:rPr>
          <w:lang w:eastAsia="en-AU"/>
        </w:rPr>
        <w:t>PISA</w:t>
      </w:r>
      <w:r w:rsidR="00B06ABD">
        <w:rPr>
          <w:lang w:eastAsia="en-AU"/>
        </w:rPr>
        <w:t>)</w:t>
      </w:r>
      <w:r w:rsidRPr="00487C28">
        <w:rPr>
          <w:lang w:eastAsia="en-AU"/>
        </w:rPr>
        <w:t xml:space="preserve"> that year. The</w:t>
      </w:r>
      <w:r w:rsidRPr="00021004">
        <w:rPr>
          <w:lang w:eastAsia="en-AU"/>
        </w:rPr>
        <w:t xml:space="preserve"> survey captures detailed information on </w:t>
      </w:r>
      <w:r>
        <w:rPr>
          <w:lang w:eastAsia="en-AU"/>
        </w:rPr>
        <w:t>education activities</w:t>
      </w:r>
      <w:r w:rsidR="00804E1F">
        <w:rPr>
          <w:lang w:eastAsia="en-AU"/>
        </w:rPr>
        <w:t xml:space="preserve"> and</w:t>
      </w:r>
      <w:r>
        <w:rPr>
          <w:lang w:eastAsia="en-AU"/>
        </w:rPr>
        <w:t xml:space="preserve"> employment</w:t>
      </w:r>
      <w:r w:rsidR="00804E1F">
        <w:rPr>
          <w:lang w:eastAsia="en-AU"/>
        </w:rPr>
        <w:t>,</w:t>
      </w:r>
      <w:r>
        <w:rPr>
          <w:lang w:eastAsia="en-AU"/>
        </w:rPr>
        <w:t xml:space="preserve"> as well as</w:t>
      </w:r>
      <w:r w:rsidRPr="00021004">
        <w:rPr>
          <w:lang w:eastAsia="en-AU"/>
        </w:rPr>
        <w:t xml:space="preserve"> socioeconomic and demographic </w:t>
      </w:r>
      <w:r>
        <w:rPr>
          <w:lang w:eastAsia="en-AU"/>
        </w:rPr>
        <w:t>characteristics</w:t>
      </w:r>
      <w:r w:rsidR="00804E1F">
        <w:rPr>
          <w:lang w:eastAsia="en-AU"/>
        </w:rPr>
        <w:t>,</w:t>
      </w:r>
      <w:r>
        <w:rPr>
          <w:lang w:eastAsia="en-AU"/>
        </w:rPr>
        <w:t xml:space="preserve"> making it ideally suited for this analysis. The</w:t>
      </w:r>
      <w:r w:rsidRPr="00021004">
        <w:rPr>
          <w:lang w:eastAsia="en-AU"/>
        </w:rPr>
        <w:t xml:space="preserve"> </w:t>
      </w:r>
      <w:r>
        <w:rPr>
          <w:lang w:eastAsia="en-AU"/>
        </w:rPr>
        <w:t>study sample is limited to</w:t>
      </w:r>
      <w:r w:rsidRPr="00021004">
        <w:rPr>
          <w:lang w:eastAsia="en-AU"/>
        </w:rPr>
        <w:t xml:space="preserve"> </w:t>
      </w:r>
      <w:r w:rsidR="00FC73FA">
        <w:rPr>
          <w:lang w:eastAsia="en-AU"/>
        </w:rPr>
        <w:t xml:space="preserve">the </w:t>
      </w:r>
      <w:r w:rsidRPr="00021004">
        <w:rPr>
          <w:lang w:eastAsia="en-AU"/>
        </w:rPr>
        <w:t xml:space="preserve">3186 individuals who completed all </w:t>
      </w:r>
      <w:r w:rsidR="006E036B">
        <w:rPr>
          <w:lang w:eastAsia="en-AU"/>
        </w:rPr>
        <w:t>10</w:t>
      </w:r>
      <w:r w:rsidRPr="00021004">
        <w:rPr>
          <w:lang w:eastAsia="en-AU"/>
        </w:rPr>
        <w:t xml:space="preserve"> waves of the survey from 2007 to 2016. </w:t>
      </w:r>
    </w:p>
    <w:bookmarkEnd w:id="327"/>
    <w:p w14:paraId="48084B42" w14:textId="5FF2518B" w:rsidR="004A3F4D" w:rsidRDefault="004A3F4D" w:rsidP="00836C9D">
      <w:pPr>
        <w:pStyle w:val="Text"/>
      </w:pPr>
      <w:r w:rsidRPr="00AF23F3">
        <w:t>Based on the survey data, it is possible to identify monthly education and labour market activities of respondents between 2007 and 2016.</w:t>
      </w:r>
      <w:r>
        <w:t xml:space="preserve"> </w:t>
      </w:r>
      <w:r w:rsidRPr="00021004">
        <w:t xml:space="preserve">Using the information available, </w:t>
      </w:r>
      <w:r>
        <w:t>seven</w:t>
      </w:r>
      <w:r w:rsidRPr="00021004">
        <w:t xml:space="preserve"> monthly activity states </w:t>
      </w:r>
      <w:r>
        <w:t>were derived: s</w:t>
      </w:r>
      <w:r w:rsidRPr="00021004">
        <w:t>chool</w:t>
      </w:r>
      <w:r>
        <w:t>, u</w:t>
      </w:r>
      <w:r w:rsidRPr="00021004">
        <w:t>niversity</w:t>
      </w:r>
      <w:r>
        <w:t xml:space="preserve">, </w:t>
      </w:r>
      <w:r w:rsidR="008B6560">
        <w:t>vocational education and training (</w:t>
      </w:r>
      <w:r>
        <w:t>VET</w:t>
      </w:r>
      <w:r w:rsidR="008B6560">
        <w:t>,</w:t>
      </w:r>
      <w:r>
        <w:t xml:space="preserve"> including apprenticeships and traineeships), employed</w:t>
      </w:r>
      <w:r w:rsidRPr="00021004">
        <w:t xml:space="preserve"> </w:t>
      </w:r>
      <w:r>
        <w:t>f</w:t>
      </w:r>
      <w:r w:rsidRPr="00021004">
        <w:t>ull-time</w:t>
      </w:r>
      <w:r>
        <w:t>, e</w:t>
      </w:r>
      <w:r w:rsidRPr="00021004">
        <w:t xml:space="preserve">mployed </w:t>
      </w:r>
      <w:r>
        <w:t>p</w:t>
      </w:r>
      <w:r w:rsidRPr="00021004">
        <w:t>art-time</w:t>
      </w:r>
      <w:r>
        <w:t>, u</w:t>
      </w:r>
      <w:r w:rsidRPr="00021004">
        <w:t>nemployed</w:t>
      </w:r>
      <w:r>
        <w:t>, and n</w:t>
      </w:r>
      <w:r w:rsidRPr="00021004">
        <w:t>ot in the labour force (NILF)</w:t>
      </w:r>
      <w:r>
        <w:t xml:space="preserve"> or </w:t>
      </w:r>
      <w:r w:rsidR="00043115">
        <w:t xml:space="preserve">not in employment, education or training </w:t>
      </w:r>
      <w:r>
        <w:t>(NEET). For analytical purposes, t</w:t>
      </w:r>
      <w:r w:rsidRPr="00021004">
        <w:t>he activities are defined to be</w:t>
      </w:r>
      <w:r>
        <w:t xml:space="preserve"> education</w:t>
      </w:r>
      <w:r w:rsidR="00933F59">
        <w:t>-</w:t>
      </w:r>
      <w:r>
        <w:t>dominant and</w:t>
      </w:r>
      <w:r w:rsidRPr="00021004">
        <w:t xml:space="preserve"> mutually exclusive</w:t>
      </w:r>
      <w:r>
        <w:t xml:space="preserve">. For example, if a young person is reported as engaged in both </w:t>
      </w:r>
      <w:r w:rsidR="008B6560">
        <w:t>VET</w:t>
      </w:r>
      <w:r>
        <w:t xml:space="preserve"> and employed for a given month, the monthly activity status would be classified as VET.</w:t>
      </w:r>
      <w:r w:rsidR="00FC3CAF">
        <w:t xml:space="preserve"> If a young person is engaged in multiple education activities for a given month, for example, VET and university, then the monthly activity status would be classified as university.</w:t>
      </w:r>
      <w:r w:rsidR="00FC3CAF">
        <w:rPr>
          <w:rStyle w:val="FootnoteReference"/>
        </w:rPr>
        <w:footnoteReference w:id="18"/>
      </w:r>
      <w:r>
        <w:t xml:space="preserve"> This classification is necessary </w:t>
      </w:r>
      <w:r w:rsidRPr="00021004">
        <w:t>to keep the number of monthly</w:t>
      </w:r>
      <w:r>
        <w:t xml:space="preserve"> activity states manageable,</w:t>
      </w:r>
      <w:r w:rsidR="00933F59">
        <w:t xml:space="preserve"> given that</w:t>
      </w:r>
      <w:r>
        <w:t xml:space="preserve"> </w:t>
      </w:r>
      <w:r w:rsidRPr="00021004">
        <w:t>the number of possible sequences grow</w:t>
      </w:r>
      <w:r>
        <w:t>s</w:t>
      </w:r>
      <w:r w:rsidRPr="00021004">
        <w:t xml:space="preserve"> </w:t>
      </w:r>
      <w:r>
        <w:t>substantially</w:t>
      </w:r>
      <w:r w:rsidRPr="00021004">
        <w:t xml:space="preserve"> as the number of states increase</w:t>
      </w:r>
      <w:r>
        <w:t>s</w:t>
      </w:r>
      <w:r w:rsidRPr="00021004">
        <w:t>, adding significantly to the complexity of the data and computational tasks</w:t>
      </w:r>
      <w:r>
        <w:t>.</w:t>
      </w:r>
    </w:p>
    <w:p w14:paraId="013C006B" w14:textId="022B9081" w:rsidR="004A3F4D" w:rsidRDefault="004A3F4D" w:rsidP="00836C9D">
      <w:pPr>
        <w:pStyle w:val="Text"/>
      </w:pPr>
      <w:r w:rsidRPr="000172DB">
        <w:t xml:space="preserve">The analytical </w:t>
      </w:r>
      <w:r w:rsidRPr="00DA1020">
        <w:t>approach</w:t>
      </w:r>
      <w:r w:rsidRPr="000172DB">
        <w:t xml:space="preserve"> utili</w:t>
      </w:r>
      <w:r>
        <w:t>s</w:t>
      </w:r>
      <w:r w:rsidRPr="000172DB">
        <w:t xml:space="preserve">ed in this study consists of three steps. </w:t>
      </w:r>
      <w:r>
        <w:t xml:space="preserve">First, </w:t>
      </w:r>
      <w:r w:rsidRPr="00E575D2">
        <w:t>the sequence</w:t>
      </w:r>
      <w:r>
        <w:t xml:space="preserve"> of activities </w:t>
      </w:r>
      <w:r w:rsidRPr="00E575D2">
        <w:t>f</w:t>
      </w:r>
      <w:r>
        <w:t>or</w:t>
      </w:r>
      <w:r w:rsidRPr="00E575D2">
        <w:t xml:space="preserve"> each individual</w:t>
      </w:r>
      <w:r>
        <w:t xml:space="preserve"> </w:t>
      </w:r>
      <w:r w:rsidR="00101AC6">
        <w:t xml:space="preserve">is derived </w:t>
      </w:r>
      <w:r>
        <w:t xml:space="preserve">and the </w:t>
      </w:r>
      <w:r w:rsidRPr="00E575D2">
        <w:t xml:space="preserve">dissimilarity (or distance) between </w:t>
      </w:r>
      <w:r>
        <w:t xml:space="preserve">each possible pair of </w:t>
      </w:r>
      <w:r w:rsidRPr="00E575D2">
        <w:t>sequences</w:t>
      </w:r>
      <w:r w:rsidR="00101AC6" w:rsidRPr="00101AC6">
        <w:t xml:space="preserve"> </w:t>
      </w:r>
      <w:r w:rsidR="00101AC6">
        <w:t>is quantified</w:t>
      </w:r>
      <w:r w:rsidRPr="00E575D2">
        <w:t xml:space="preserve">. </w:t>
      </w:r>
      <w:r>
        <w:t xml:space="preserve">Then, </w:t>
      </w:r>
      <w:r w:rsidRPr="00E575D2">
        <w:t>the distance between sequences to classify them into clusters of pathways (cluster analysis)</w:t>
      </w:r>
      <w:r w:rsidR="00933F59">
        <w:t xml:space="preserve"> is used</w:t>
      </w:r>
      <w:r w:rsidRPr="00E575D2">
        <w:t>.</w:t>
      </w:r>
      <w:r>
        <w:t xml:space="preserve"> Finally, </w:t>
      </w:r>
      <w:r w:rsidR="00933F59">
        <w:t>the</w:t>
      </w:r>
      <w:r>
        <w:t xml:space="preserve"> possible factors that determine the probability</w:t>
      </w:r>
      <w:r w:rsidRPr="000172DB">
        <w:t xml:space="preserve"> o</w:t>
      </w:r>
      <w:r>
        <w:t>f belonging to a certain pathway using a multinomial logistic regression model</w:t>
      </w:r>
      <w:r w:rsidR="00933F59">
        <w:t xml:space="preserve"> are identified</w:t>
      </w:r>
      <w:r>
        <w:t xml:space="preserve">. This methodology allows </w:t>
      </w:r>
      <w:r w:rsidR="0099065E">
        <w:t xml:space="preserve">us </w:t>
      </w:r>
      <w:r>
        <w:t>to estimate the likelihood of belonging to a pathway for a given set of background characteristics.</w:t>
      </w:r>
    </w:p>
    <w:p w14:paraId="75E8A963" w14:textId="4C5B017A" w:rsidR="004A3F4D" w:rsidRPr="00C32A7C" w:rsidRDefault="004A3F4D" w:rsidP="00836C9D">
      <w:pPr>
        <w:pStyle w:val="Text"/>
        <w:rPr>
          <w:szCs w:val="19"/>
        </w:rPr>
      </w:pPr>
      <w:r w:rsidRPr="00301BAC">
        <w:rPr>
          <w:szCs w:val="19"/>
        </w:rPr>
        <w:t>Measuring the dissimilarity between sequences is the starting point in all sequence analysis methods</w:t>
      </w:r>
      <w:r w:rsidRPr="00A37E70">
        <w:rPr>
          <w:szCs w:val="19"/>
        </w:rPr>
        <w:t xml:space="preserve">. </w:t>
      </w:r>
      <w:r w:rsidRPr="00C32A7C">
        <w:rPr>
          <w:szCs w:val="19"/>
        </w:rPr>
        <w:t xml:space="preserve">The most appropriate type of distance measure depends on the research question(s) and the data available. Following on from the discussion by Studer and </w:t>
      </w:r>
      <w:proofErr w:type="spellStart"/>
      <w:r w:rsidRPr="00C32A7C">
        <w:rPr>
          <w:szCs w:val="19"/>
        </w:rPr>
        <w:t>Ritschard</w:t>
      </w:r>
      <w:proofErr w:type="spellEnd"/>
      <w:r w:rsidRPr="00C32A7C">
        <w:rPr>
          <w:szCs w:val="19"/>
        </w:rPr>
        <w:t xml:space="preserve"> (2016) on the review of various distance measures, this analysis utilises the chi-square distance, which focuses on the time spent in each state within the sequences</w:t>
      </w:r>
      <w:r w:rsidR="001A683D">
        <w:rPr>
          <w:szCs w:val="19"/>
        </w:rPr>
        <w:t>,</w:t>
      </w:r>
      <w:r w:rsidRPr="00C32A7C">
        <w:rPr>
          <w:szCs w:val="19"/>
        </w:rPr>
        <w:t xml:space="preserve"> while retaining the contemporaneity of sequences. Given </w:t>
      </w:r>
      <w:r w:rsidR="001A683D">
        <w:rPr>
          <w:szCs w:val="19"/>
        </w:rPr>
        <w:t xml:space="preserve">that </w:t>
      </w:r>
      <w:r w:rsidRPr="00C32A7C">
        <w:rPr>
          <w:szCs w:val="19"/>
        </w:rPr>
        <w:t xml:space="preserve">the data contain a cohort of individuals of the same age, who are likely to make transitions at similar times, the chi-square measure is an ideal distance measure for the analysis. There are however noted </w:t>
      </w:r>
      <w:r w:rsidRPr="00C32A7C">
        <w:rPr>
          <w:szCs w:val="19"/>
        </w:rPr>
        <w:lastRenderedPageBreak/>
        <w:t>limitations of this distance measure, including applying only to pairs of sequences of the same length and the inability to account for the level of dissimilarity between specific states.</w:t>
      </w:r>
    </w:p>
    <w:p w14:paraId="79B734B9" w14:textId="27EE62CE" w:rsidR="004A3F4D" w:rsidRPr="00C32A7C" w:rsidRDefault="004A3F4D" w:rsidP="00836C9D">
      <w:pPr>
        <w:pStyle w:val="Text"/>
        <w:rPr>
          <w:rFonts w:eastAsia="PNABO N+ MTSY"/>
          <w:szCs w:val="19"/>
        </w:rPr>
      </w:pPr>
      <w:r w:rsidRPr="00C32A7C">
        <w:rPr>
          <w:rFonts w:eastAsia="PNABO N+ MTSY"/>
          <w:szCs w:val="19"/>
        </w:rPr>
        <w:t xml:space="preserve">In grouping similar sequences into pathways, cluster analysis is applied on the chi-square distance matrix obtained from sequence analysis, using the hierarchical agglomerative Ward’s method. The clustering process in Ward’s method is based on the </w:t>
      </w:r>
      <w:r w:rsidR="00801785" w:rsidRPr="00C32A7C">
        <w:rPr>
          <w:rFonts w:eastAsia="PNABO N+ MTSY"/>
          <w:szCs w:val="19"/>
        </w:rPr>
        <w:t xml:space="preserve">error sum-of-squares </w:t>
      </w:r>
      <w:r w:rsidRPr="00C32A7C">
        <w:rPr>
          <w:rFonts w:eastAsia="PNABO N+ MTSY"/>
          <w:szCs w:val="19"/>
        </w:rPr>
        <w:t xml:space="preserve">(ESS) from each pair of clusters being combined, defined as the sum of the squared distances of individuals from the centre of the cluster. With hierarchical clustering, the ESS is initially zero (since every individual is in their own cluster), and </w:t>
      </w:r>
      <w:r w:rsidR="0040108B">
        <w:rPr>
          <w:rFonts w:eastAsia="PNABO N+ MTSY"/>
          <w:szCs w:val="19"/>
        </w:rPr>
        <w:t>it</w:t>
      </w:r>
      <w:r w:rsidRPr="00C32A7C">
        <w:rPr>
          <w:rFonts w:eastAsia="PNABO N+ MTSY"/>
          <w:szCs w:val="19"/>
        </w:rPr>
        <w:t xml:space="preserve"> grows as clusters are merged. Ward’s method selects the pairs of clusters that result in the minimum increase in the ESS. </w:t>
      </w:r>
    </w:p>
    <w:p w14:paraId="1F8BBA12" w14:textId="20EA8382" w:rsidR="004A3F4D" w:rsidRDefault="004A3F4D" w:rsidP="00836C9D">
      <w:pPr>
        <w:pStyle w:val="Text"/>
        <w:rPr>
          <w:rFonts w:eastAsia="PNABO N+ MTSY"/>
          <w:szCs w:val="19"/>
        </w:rPr>
      </w:pPr>
      <w:r w:rsidRPr="00C32A7C">
        <w:rPr>
          <w:rFonts w:eastAsia="PNABO N+ MTSY"/>
          <w:szCs w:val="19"/>
        </w:rPr>
        <w:t>The second part of cluster analysis involves deciding on the appropriate number of clusters, which involves striking a balance between low variation within cluster</w:t>
      </w:r>
      <w:r w:rsidR="00ED6618">
        <w:rPr>
          <w:rFonts w:eastAsia="PNABO N+ MTSY"/>
          <w:szCs w:val="19"/>
        </w:rPr>
        <w:t>s</w:t>
      </w:r>
      <w:r w:rsidRPr="00C32A7C">
        <w:rPr>
          <w:rFonts w:eastAsia="PNABO N+ MTSY"/>
          <w:szCs w:val="19"/>
        </w:rPr>
        <w:t xml:space="preserve"> and sufficient variation between clusters, whil</w:t>
      </w:r>
      <w:r w:rsidR="00ED6618">
        <w:rPr>
          <w:rFonts w:eastAsia="PNABO N+ MTSY"/>
          <w:szCs w:val="19"/>
        </w:rPr>
        <w:t>e</w:t>
      </w:r>
      <w:r w:rsidRPr="00C32A7C">
        <w:rPr>
          <w:rFonts w:eastAsia="PNABO N+ MTSY"/>
          <w:szCs w:val="19"/>
        </w:rPr>
        <w:t xml:space="preserve"> being analytically meaningful. Several statistical measures</w:t>
      </w:r>
      <w:r w:rsidR="001A2B47">
        <w:rPr>
          <w:rFonts w:eastAsia="PNABO N+ MTSY"/>
          <w:szCs w:val="19"/>
        </w:rPr>
        <w:t>,</w:t>
      </w:r>
      <w:r w:rsidRPr="00C32A7C">
        <w:rPr>
          <w:rFonts w:eastAsia="PNABO N+ MTSY"/>
          <w:szCs w:val="19"/>
        </w:rPr>
        <w:t xml:space="preserve"> as compiled by Studer (2013)</w:t>
      </w:r>
      <w:r w:rsidR="001A2B47">
        <w:rPr>
          <w:rFonts w:eastAsia="PNABO N+ MTSY"/>
          <w:szCs w:val="19"/>
        </w:rPr>
        <w:t>,</w:t>
      </w:r>
      <w:r w:rsidRPr="00C32A7C">
        <w:rPr>
          <w:rFonts w:eastAsia="PNABO N+ MTSY"/>
          <w:szCs w:val="19"/>
        </w:rPr>
        <w:t xml:space="preserve"> were used to assess the quality of </w:t>
      </w:r>
      <w:r w:rsidR="00A5798B">
        <w:rPr>
          <w:rFonts w:eastAsia="PNABO N+ MTSY"/>
          <w:szCs w:val="19"/>
        </w:rPr>
        <w:t xml:space="preserve">the </w:t>
      </w:r>
      <w:r w:rsidRPr="00C32A7C">
        <w:rPr>
          <w:rFonts w:eastAsia="PNABO N+ MTSY"/>
          <w:szCs w:val="19"/>
        </w:rPr>
        <w:t>clusters obtained</w:t>
      </w:r>
      <w:r w:rsidR="0040108B">
        <w:rPr>
          <w:rFonts w:eastAsia="PNABO N+ MTSY"/>
          <w:szCs w:val="19"/>
        </w:rPr>
        <w:t xml:space="preserve"> including but</w:t>
      </w:r>
      <w:r w:rsidR="001A2B47">
        <w:rPr>
          <w:rFonts w:eastAsia="PNABO N+ MTSY"/>
          <w:szCs w:val="19"/>
        </w:rPr>
        <w:t xml:space="preserve"> </w:t>
      </w:r>
      <w:r w:rsidRPr="00C32A7C">
        <w:rPr>
          <w:rFonts w:eastAsia="PNABO N+ MTSY"/>
          <w:szCs w:val="19"/>
        </w:rPr>
        <w:t xml:space="preserve">not limited to Hubert’s Gamma, </w:t>
      </w:r>
      <w:r w:rsidR="009411C8" w:rsidRPr="00C32A7C">
        <w:rPr>
          <w:rFonts w:eastAsia="PNABO N+ MTSY"/>
          <w:szCs w:val="19"/>
        </w:rPr>
        <w:t xml:space="preserve">average silhouette width </w:t>
      </w:r>
      <w:r w:rsidRPr="00C32A7C">
        <w:rPr>
          <w:rFonts w:eastAsia="PNABO N+ MTSY"/>
          <w:szCs w:val="19"/>
        </w:rPr>
        <w:t xml:space="preserve">and </w:t>
      </w:r>
      <w:r w:rsidR="001A2B47">
        <w:rPr>
          <w:rFonts w:eastAsia="PNABO N+ MTSY"/>
          <w:szCs w:val="19"/>
        </w:rPr>
        <w:t xml:space="preserve">the </w:t>
      </w:r>
      <w:proofErr w:type="spellStart"/>
      <w:r w:rsidRPr="00C32A7C">
        <w:rPr>
          <w:rFonts w:eastAsia="PNABO N+ MTSY"/>
          <w:szCs w:val="19"/>
        </w:rPr>
        <w:t>Calinski-Harabasz</w:t>
      </w:r>
      <w:proofErr w:type="spellEnd"/>
      <w:r w:rsidRPr="00C32A7C">
        <w:rPr>
          <w:rFonts w:eastAsia="PNABO N+ MTSY"/>
          <w:szCs w:val="19"/>
        </w:rPr>
        <w:t xml:space="preserve"> index. A ‘majority rule’ approach was adopted to decide on the number of clusters. That is, the number of clusters that </w:t>
      </w:r>
      <w:r w:rsidR="003761C9">
        <w:rPr>
          <w:rFonts w:eastAsia="PNABO N+ MTSY"/>
          <w:szCs w:val="19"/>
        </w:rPr>
        <w:t xml:space="preserve">the </w:t>
      </w:r>
      <w:r w:rsidRPr="00C32A7C">
        <w:rPr>
          <w:rFonts w:eastAsia="PNABO N+ MTSY"/>
          <w:szCs w:val="19"/>
        </w:rPr>
        <w:t>majority of the statistical measures recommended was chosen. As such, five clusters emerged as the representative pathways in the study sample, which were also meaningful within a socioeconomic context.</w:t>
      </w:r>
      <w:r w:rsidRPr="00A37E70">
        <w:rPr>
          <w:rFonts w:eastAsia="PNABO N+ MTSY"/>
          <w:szCs w:val="19"/>
        </w:rPr>
        <w:t xml:space="preserve"> </w:t>
      </w:r>
    </w:p>
    <w:p w14:paraId="4E6E06ED" w14:textId="77777777" w:rsidR="004A3F4D" w:rsidRPr="00CF6E71" w:rsidRDefault="004A3F4D" w:rsidP="0040108B">
      <w:pPr>
        <w:pStyle w:val="Heading2"/>
      </w:pPr>
      <w:bookmarkStart w:id="328" w:name="_Toc528156297"/>
      <w:bookmarkStart w:id="329" w:name="_Toc19803998"/>
      <w:r w:rsidRPr="00CF6E71">
        <w:t xml:space="preserve">A typology of young </w:t>
      </w:r>
      <w:r w:rsidRPr="00F807EB">
        <w:t>people’s</w:t>
      </w:r>
      <w:r w:rsidRPr="00CF6E71">
        <w:t xml:space="preserve"> pathways</w:t>
      </w:r>
      <w:bookmarkEnd w:id="328"/>
      <w:bookmarkEnd w:id="329"/>
    </w:p>
    <w:p w14:paraId="6E0C8963" w14:textId="77777777" w:rsidR="004A3F4D" w:rsidRPr="00C35B43" w:rsidRDefault="004A3F4D" w:rsidP="00836C9D">
      <w:pPr>
        <w:pStyle w:val="Text"/>
        <w:rPr>
          <w:lang w:eastAsia="en-AU"/>
        </w:rPr>
      </w:pPr>
      <w:r>
        <w:rPr>
          <w:rFonts w:eastAsia="PNABO N+ MTSY"/>
        </w:rPr>
        <w:t xml:space="preserve">The five pathways uncovered by the analysis are described below. </w:t>
      </w:r>
      <w:r>
        <w:rPr>
          <w:lang w:eastAsia="en-AU"/>
        </w:rPr>
        <w:t xml:space="preserve">Analytical and data constraints limit the ability to generalise the results of this study. </w:t>
      </w:r>
      <w:r>
        <w:t>However, the initial LSAY sample is representative of the youth population of Australia, and thus is useful in providing important insights on their transition pathways.</w:t>
      </w:r>
    </w:p>
    <w:p w14:paraId="71FF8C41" w14:textId="77777777" w:rsidR="004A3F4D" w:rsidRDefault="004A3F4D" w:rsidP="00836C9D">
      <w:pPr>
        <w:pStyle w:val="Text"/>
      </w:pPr>
      <w:r w:rsidRPr="000C7B11">
        <w:rPr>
          <w:b/>
        </w:rPr>
        <w:t>Pathway</w:t>
      </w:r>
      <w:r>
        <w:rPr>
          <w:b/>
        </w:rPr>
        <w:t xml:space="preserve"> </w:t>
      </w:r>
      <w:r w:rsidRPr="000C7B11">
        <w:rPr>
          <w:b/>
        </w:rPr>
        <w:t>1:</w:t>
      </w:r>
      <w:r>
        <w:t xml:space="preserve"> </w:t>
      </w:r>
      <w:r w:rsidRPr="00B73385">
        <w:rPr>
          <w:b/>
        </w:rPr>
        <w:t>Higher education and work</w:t>
      </w:r>
    </w:p>
    <w:p w14:paraId="73B48C07" w14:textId="75AC0273" w:rsidR="004A3F4D" w:rsidRDefault="004A3F4D" w:rsidP="00836C9D">
      <w:pPr>
        <w:pStyle w:val="Text"/>
        <w:numPr>
          <w:ilvl w:val="0"/>
          <w:numId w:val="58"/>
        </w:numPr>
      </w:pPr>
      <w:r>
        <w:t>The majority of young people are in this pathway</w:t>
      </w:r>
      <w:r w:rsidR="00801F1F">
        <w:t>, which has</w:t>
      </w:r>
      <w:r>
        <w:t xml:space="preserve"> an extended period of higher education followed by employment (60% of the sample). </w:t>
      </w:r>
    </w:p>
    <w:p w14:paraId="706CD077" w14:textId="77777777" w:rsidR="004A3F4D" w:rsidRPr="00B73385" w:rsidRDefault="004A3F4D" w:rsidP="00836C9D">
      <w:pPr>
        <w:pStyle w:val="Text"/>
        <w:rPr>
          <w:b/>
        </w:rPr>
      </w:pPr>
      <w:r w:rsidRPr="00B73385">
        <w:rPr>
          <w:b/>
        </w:rPr>
        <w:t xml:space="preserve">Pathway 2: Early entry to </w:t>
      </w:r>
      <w:r>
        <w:rPr>
          <w:b/>
        </w:rPr>
        <w:t>f</w:t>
      </w:r>
      <w:r w:rsidRPr="00B73385">
        <w:rPr>
          <w:b/>
        </w:rPr>
        <w:t>ull-time work</w:t>
      </w:r>
    </w:p>
    <w:p w14:paraId="1986630A" w14:textId="46168E14" w:rsidR="004A3F4D" w:rsidRDefault="004A3F4D" w:rsidP="00836C9D">
      <w:pPr>
        <w:pStyle w:val="Text"/>
        <w:numPr>
          <w:ilvl w:val="0"/>
          <w:numId w:val="58"/>
        </w:numPr>
      </w:pPr>
      <w:r>
        <w:t>About one</w:t>
      </w:r>
      <w:r w:rsidR="00801F1F">
        <w:t>-</w:t>
      </w:r>
      <w:r>
        <w:t>quarter of the sample (23%) follow</w:t>
      </w:r>
      <w:r w:rsidR="00801F1F">
        <w:t>s</w:t>
      </w:r>
      <w:r>
        <w:t xml:space="preserve"> an ‘express pathway’ to employment, distinguished by a short spell of post-school education or training (mostly VET)</w:t>
      </w:r>
      <w:r w:rsidR="00801F1F">
        <w:t>,</w:t>
      </w:r>
      <w:r>
        <w:t xml:space="preserve"> leading to full-time work in about one year after leaving school. </w:t>
      </w:r>
    </w:p>
    <w:p w14:paraId="53922935" w14:textId="77777777" w:rsidR="004A3F4D" w:rsidRDefault="004A3F4D" w:rsidP="00836C9D">
      <w:pPr>
        <w:pStyle w:val="Text"/>
      </w:pPr>
      <w:r w:rsidRPr="000C7B11">
        <w:rPr>
          <w:b/>
        </w:rPr>
        <w:t>Pathway 3:</w:t>
      </w:r>
      <w:r>
        <w:t xml:space="preserve"> </w:t>
      </w:r>
      <w:r w:rsidRPr="00B73385">
        <w:rPr>
          <w:b/>
        </w:rPr>
        <w:t>Mix of higher education and VET</w:t>
      </w:r>
    </w:p>
    <w:p w14:paraId="2943C766" w14:textId="3ED113FF" w:rsidR="004A3F4D" w:rsidRDefault="00AE48A3" w:rsidP="008B6560">
      <w:pPr>
        <w:pStyle w:val="Text"/>
        <w:numPr>
          <w:ilvl w:val="0"/>
          <w:numId w:val="58"/>
        </w:numPr>
      </w:pPr>
      <w:r>
        <w:t>Around 8% of the sample fol</w:t>
      </w:r>
      <w:r w:rsidR="005E6250">
        <w:t>low this pathway of an</w:t>
      </w:r>
      <w:r w:rsidR="004A3F4D">
        <w:t xml:space="preserve"> extended period of higher education and VET activity</w:t>
      </w:r>
      <w:r w:rsidR="005E6250">
        <w:t>,</w:t>
      </w:r>
      <w:r w:rsidR="004A3F4D">
        <w:t xml:space="preserve"> combined with short and intermittent episodes of employment, eventually leading to employment or further VET activity. </w:t>
      </w:r>
    </w:p>
    <w:p w14:paraId="2845522C" w14:textId="77777777" w:rsidR="004A3F4D" w:rsidRDefault="004A3F4D" w:rsidP="00836C9D">
      <w:pPr>
        <w:pStyle w:val="Text"/>
      </w:pPr>
      <w:r w:rsidRPr="000C7B11">
        <w:rPr>
          <w:b/>
        </w:rPr>
        <w:t>Pathway 4:</w:t>
      </w:r>
      <w:r>
        <w:t xml:space="preserve"> </w:t>
      </w:r>
      <w:r w:rsidRPr="00520651">
        <w:rPr>
          <w:b/>
        </w:rPr>
        <w:t>Mixed and repeatedly disengaged</w:t>
      </w:r>
    </w:p>
    <w:p w14:paraId="066E2BB8" w14:textId="5122198E" w:rsidR="004A3F4D" w:rsidRDefault="004A3F4D" w:rsidP="00836C9D">
      <w:pPr>
        <w:pStyle w:val="Text"/>
        <w:numPr>
          <w:ilvl w:val="0"/>
          <w:numId w:val="56"/>
        </w:numPr>
      </w:pPr>
      <w:r>
        <w:t xml:space="preserve">Young people in </w:t>
      </w:r>
      <w:r w:rsidR="00196342">
        <w:t xml:space="preserve">this </w:t>
      </w:r>
      <w:r>
        <w:t>pathway display signs of labour market churning and periods in NILF/NEET. While only a small proportion of the sample (5%) fall</w:t>
      </w:r>
      <w:r w:rsidR="005E6250">
        <w:t>s</w:t>
      </w:r>
      <w:r>
        <w:t xml:space="preserve"> into this category, persistent churning indicates tenuous labour market attachment. </w:t>
      </w:r>
    </w:p>
    <w:p w14:paraId="4B8FDB21" w14:textId="77777777" w:rsidR="004A3F4D" w:rsidRDefault="004A3F4D" w:rsidP="00836C9D">
      <w:pPr>
        <w:pStyle w:val="Text"/>
      </w:pPr>
      <w:r w:rsidRPr="000C7B11">
        <w:rPr>
          <w:b/>
        </w:rPr>
        <w:lastRenderedPageBreak/>
        <w:t>Pathway 5:</w:t>
      </w:r>
      <w:r>
        <w:t xml:space="preserve"> </w:t>
      </w:r>
      <w:r w:rsidRPr="00B73385">
        <w:rPr>
          <w:b/>
        </w:rPr>
        <w:t>Mostly working part-time</w:t>
      </w:r>
    </w:p>
    <w:p w14:paraId="02E2E321" w14:textId="2519BAFA" w:rsidR="004A3F4D" w:rsidRDefault="004A3F4D" w:rsidP="00836C9D">
      <w:pPr>
        <w:pStyle w:val="Text"/>
        <w:numPr>
          <w:ilvl w:val="0"/>
          <w:numId w:val="55"/>
        </w:numPr>
      </w:pPr>
      <w:r>
        <w:t xml:space="preserve">Consists of 4% of the sample who enter the labour market relatively early and are mostly employed part-time. </w:t>
      </w:r>
    </w:p>
    <w:p w14:paraId="55302AA0" w14:textId="77777777" w:rsidR="004A3F4D" w:rsidRPr="00955368" w:rsidRDefault="004A3F4D" w:rsidP="003B6C52">
      <w:pPr>
        <w:pStyle w:val="Heading2"/>
        <w:rPr>
          <w:lang w:val="en-US"/>
        </w:rPr>
      </w:pPr>
      <w:bookmarkStart w:id="330" w:name="_Toc528156298"/>
      <w:bookmarkStart w:id="331" w:name="_Toc15048985"/>
      <w:bookmarkStart w:id="332" w:name="_Toc19803999"/>
      <w:bookmarkEnd w:id="318"/>
      <w:bookmarkEnd w:id="319"/>
      <w:bookmarkEnd w:id="320"/>
      <w:r w:rsidRPr="00955368">
        <w:t>Visualising the pathways</w:t>
      </w:r>
      <w:bookmarkEnd w:id="330"/>
      <w:bookmarkEnd w:id="331"/>
      <w:bookmarkEnd w:id="332"/>
      <w:r w:rsidRPr="00955368">
        <w:rPr>
          <w:lang w:val="en-US"/>
        </w:rPr>
        <w:t xml:space="preserve"> </w:t>
      </w:r>
    </w:p>
    <w:p w14:paraId="33E01A77" w14:textId="568E37EF" w:rsidR="004A3F4D" w:rsidRDefault="004A3F4D" w:rsidP="00836C9D">
      <w:pPr>
        <w:pStyle w:val="Text"/>
      </w:pPr>
      <w:r>
        <w:t xml:space="preserve">Figure 1 presents two visualisations of the pathways. Sequence index plots </w:t>
      </w:r>
      <w:r w:rsidRPr="00955368">
        <w:t>illus</w:t>
      </w:r>
      <w:r>
        <w:t xml:space="preserve">trate the activity sequences </w:t>
      </w:r>
      <w:r w:rsidR="0035331D">
        <w:t>through</w:t>
      </w:r>
      <w:r>
        <w:t xml:space="preserve"> </w:t>
      </w:r>
      <w:r w:rsidR="0035331D">
        <w:t>the use of</w:t>
      </w:r>
      <w:r>
        <w:t xml:space="preserve"> colour</w:t>
      </w:r>
      <w:r w:rsidR="00D16F49">
        <w:t>-</w:t>
      </w:r>
      <w:r>
        <w:t xml:space="preserve">coded horizontal stacked bars </w:t>
      </w:r>
      <w:r w:rsidRPr="00955368">
        <w:t xml:space="preserve">to </w:t>
      </w:r>
      <w:r w:rsidR="00D16F49">
        <w:t>i</w:t>
      </w:r>
      <w:r w:rsidR="0040108B">
        <w:t>llustrate</w:t>
      </w:r>
      <w:r w:rsidRPr="00955368">
        <w:t xml:space="preserve"> how individuals move between states over time</w:t>
      </w:r>
      <w:r>
        <w:t xml:space="preserve">. Individuals are numbered along the vertical axis and time is shown on the horizontal axis. It provides a longitudinal perspective of the sequences and allows the pathway to be observed in its entirety. </w:t>
      </w:r>
    </w:p>
    <w:p w14:paraId="376405A6" w14:textId="46F07172" w:rsidR="0091208E" w:rsidRDefault="004A3F4D" w:rsidP="00836C9D">
      <w:pPr>
        <w:pStyle w:val="Text"/>
      </w:pPr>
      <w:r>
        <w:t xml:space="preserve">Modal plots provide yet another perspective on the transition pathways by illustrating the most frequent activity undertaken in each month, and the proportion of individuals </w:t>
      </w:r>
      <w:r w:rsidR="00D16F49">
        <w:t>undertaking</w:t>
      </w:r>
      <w:r>
        <w:t xml:space="preserve"> that activity. They are useful in identifying the dominant activity at different times. In other words, it depicts the most popular activity undertaken by young people each month.</w:t>
      </w:r>
    </w:p>
    <w:p w14:paraId="113CF656" w14:textId="77777777" w:rsidR="0091208E" w:rsidRDefault="0091208E">
      <w:pPr>
        <w:spacing w:before="0" w:line="240" w:lineRule="auto"/>
      </w:pPr>
      <w:r>
        <w:br w:type="page"/>
      </w:r>
    </w:p>
    <w:p w14:paraId="5798A169" w14:textId="6B2A26E5" w:rsidR="0037279C" w:rsidRPr="00A57050" w:rsidRDefault="000C6AB3" w:rsidP="00A57050">
      <w:pPr>
        <w:pStyle w:val="Figuretitle"/>
      </w:pPr>
      <w:bookmarkStart w:id="333" w:name="_Toc19001711"/>
      <w:r w:rsidRPr="00A57050">
        <w:lastRenderedPageBreak/>
        <w:t xml:space="preserve">Figure </w:t>
      </w:r>
      <w:r w:rsidR="00AD48D8" w:rsidRPr="00A57050">
        <w:t>24</w:t>
      </w:r>
      <w:r w:rsidR="00B103B1" w:rsidRPr="00A57050">
        <w:tab/>
      </w:r>
      <w:r w:rsidRPr="00A57050">
        <w:t>Visualising the pathways</w:t>
      </w:r>
      <w:bookmarkEnd w:id="333"/>
    </w:p>
    <w:p w14:paraId="65BAAD39" w14:textId="1E29C4DF" w:rsidR="000F0453" w:rsidRPr="00B44E57" w:rsidRDefault="000C6AB3" w:rsidP="00A57050">
      <w:pPr>
        <w:pStyle w:val="Figuretitle"/>
      </w:pPr>
      <w:r w:rsidRPr="00B44E57">
        <w:t>Pathway 1</w:t>
      </w:r>
      <w:r w:rsidR="002700FA" w:rsidRPr="00B44E57">
        <w:t>:</w:t>
      </w:r>
      <w:r w:rsidRPr="00B44E57">
        <w:t xml:space="preserve"> Higher education and full-time work (60% of the sample)</w:t>
      </w:r>
    </w:p>
    <w:p w14:paraId="5438A0DE" w14:textId="15C058F4" w:rsidR="000F0453" w:rsidRPr="00A57050" w:rsidRDefault="00573038" w:rsidP="00A57050">
      <w:pPr>
        <w:pStyle w:val="Figuretitle"/>
      </w:pPr>
      <w:bookmarkStart w:id="334" w:name="_Toc14444585"/>
      <w:bookmarkStart w:id="335" w:name="_Toc15047792"/>
      <w:bookmarkStart w:id="336" w:name="_Toc15047881"/>
      <w:bookmarkStart w:id="337" w:name="_Toc19001712"/>
      <w:r w:rsidRPr="00A57050">
        <w:rPr>
          <w:noProof/>
        </w:rPr>
        <w:drawing>
          <wp:anchor distT="0" distB="0" distL="114300" distR="114300" simplePos="0" relativeHeight="252046336" behindDoc="0" locked="0" layoutInCell="1" allowOverlap="1" wp14:anchorId="445260FA" wp14:editId="0F2158BE">
            <wp:simplePos x="0" y="0"/>
            <wp:positionH relativeFrom="margin">
              <wp:align>center</wp:align>
            </wp:positionH>
            <wp:positionV relativeFrom="paragraph">
              <wp:posOffset>2836943</wp:posOffset>
            </wp:positionV>
            <wp:extent cx="4741545" cy="234311"/>
            <wp:effectExtent l="0" t="0" r="0" b="0"/>
            <wp:wrapTopAndBottom/>
            <wp:docPr id="17" name="Picture 17" descr="C:\Users\emerickchew\Documents\R\stat1 outputs\individual graphs\index_clus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erickchew\Documents\R\stat1 outputs\individual graphs\index_clust1.jpeg"/>
                    <pic:cNvPicPr>
                      <a:picLocks noChangeAspect="1" noChangeArrowheads="1"/>
                    </pic:cNvPicPr>
                  </pic:nvPicPr>
                  <pic:blipFill rotWithShape="1">
                    <a:blip r:embed="rId60">
                      <a:extLst>
                        <a:ext uri="{28A0092B-C50C-407E-A947-70E740481C1C}">
                          <a14:useLocalDpi xmlns:a14="http://schemas.microsoft.com/office/drawing/2010/main" val="0"/>
                        </a:ext>
                      </a:extLst>
                    </a:blip>
                    <a:srcRect l="7056" t="86190" r="5828" b="6667"/>
                    <a:stretch/>
                  </pic:blipFill>
                  <pic:spPr bwMode="auto">
                    <a:xfrm>
                      <a:off x="0" y="0"/>
                      <a:ext cx="4741545" cy="234311"/>
                    </a:xfrm>
                    <a:prstGeom prst="rect">
                      <a:avLst/>
                    </a:prstGeom>
                    <a:noFill/>
                    <a:ln>
                      <a:noFill/>
                    </a:ln>
                    <a:extLst>
                      <a:ext uri="{53640926-AAD7-44D8-BBD7-CCE9431645EC}">
                        <a14:shadowObscured xmlns:a14="http://schemas.microsoft.com/office/drawing/2010/main"/>
                      </a:ext>
                    </a:extLst>
                  </pic:spPr>
                </pic:pic>
              </a:graphicData>
            </a:graphic>
          </wp:anchor>
        </w:drawing>
      </w:r>
      <w:r w:rsidR="000C6AB3" w:rsidRPr="00A57050">
        <w:t>Sequence Index plot</w:t>
      </w:r>
      <w:bookmarkEnd w:id="334"/>
      <w:bookmarkEnd w:id="335"/>
      <w:bookmarkEnd w:id="336"/>
      <w:bookmarkEnd w:id="337"/>
    </w:p>
    <w:p w14:paraId="12E22054" w14:textId="4C310D7C" w:rsidR="000F0453" w:rsidRDefault="00573038" w:rsidP="0037279C">
      <w:pPr>
        <w:pStyle w:val="Figuretitle"/>
        <w:rPr>
          <w:b w:val="0"/>
          <w:sz w:val="18"/>
        </w:rPr>
      </w:pPr>
      <w:bookmarkStart w:id="338" w:name="_Toc19001713"/>
      <w:r>
        <w:rPr>
          <w:b w:val="0"/>
          <w:noProof/>
          <w:sz w:val="18"/>
        </w:rPr>
        <w:drawing>
          <wp:anchor distT="0" distB="0" distL="114300" distR="114300" simplePos="0" relativeHeight="252029952" behindDoc="0" locked="0" layoutInCell="1" allowOverlap="1" wp14:anchorId="5BA4E0BA" wp14:editId="1F31A0B9">
            <wp:simplePos x="0" y="0"/>
            <wp:positionH relativeFrom="margin">
              <wp:align>right</wp:align>
            </wp:positionH>
            <wp:positionV relativeFrom="paragraph">
              <wp:posOffset>79493</wp:posOffset>
            </wp:positionV>
            <wp:extent cx="5038725" cy="2343150"/>
            <wp:effectExtent l="0" t="0" r="9525"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a:extLst>
                        <a:ext uri="{28A0092B-C50C-407E-A947-70E740481C1C}">
                          <a14:useLocalDpi xmlns:a14="http://schemas.microsoft.com/office/drawing/2010/main" val="0"/>
                        </a:ext>
                      </a:extLst>
                    </a:blip>
                    <a:srcRect t="12748" b="17564"/>
                    <a:stretch/>
                  </pic:blipFill>
                  <pic:spPr bwMode="auto">
                    <a:xfrm>
                      <a:off x="0" y="0"/>
                      <a:ext cx="5038725"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38"/>
    </w:p>
    <w:p w14:paraId="402B8884" w14:textId="6A28181B" w:rsidR="0037279C" w:rsidRPr="00293B4C" w:rsidRDefault="007A3945" w:rsidP="007A3945">
      <w:pPr>
        <w:pStyle w:val="Figuretitle"/>
      </w:pPr>
      <w:r w:rsidRPr="00573038">
        <w:rPr>
          <w:noProof/>
          <w:szCs w:val="19"/>
        </w:rPr>
        <w:drawing>
          <wp:anchor distT="0" distB="0" distL="114300" distR="114300" simplePos="0" relativeHeight="252030976" behindDoc="0" locked="0" layoutInCell="1" allowOverlap="1" wp14:anchorId="71C10D30" wp14:editId="5B9C5D8D">
            <wp:simplePos x="0" y="0"/>
            <wp:positionH relativeFrom="margin">
              <wp:posOffset>0</wp:posOffset>
            </wp:positionH>
            <wp:positionV relativeFrom="paragraph">
              <wp:posOffset>349885</wp:posOffset>
            </wp:positionV>
            <wp:extent cx="5038725" cy="2314575"/>
            <wp:effectExtent l="0" t="0" r="9525" b="952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a:extLst>
                        <a:ext uri="{28A0092B-C50C-407E-A947-70E740481C1C}">
                          <a14:useLocalDpi xmlns:a14="http://schemas.microsoft.com/office/drawing/2010/main" val="0"/>
                        </a:ext>
                      </a:extLst>
                    </a:blip>
                    <a:srcRect t="13031" b="18130"/>
                    <a:stretch/>
                  </pic:blipFill>
                  <pic:spPr bwMode="auto">
                    <a:xfrm>
                      <a:off x="0" y="0"/>
                      <a:ext cx="5038725" cy="231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31FD">
        <w:rPr>
          <w:noProof/>
        </w:rPr>
        <w:drawing>
          <wp:anchor distT="0" distB="0" distL="114300" distR="114300" simplePos="0" relativeHeight="252048384" behindDoc="0" locked="0" layoutInCell="1" allowOverlap="1" wp14:anchorId="63D50B06" wp14:editId="35C64B6D">
            <wp:simplePos x="0" y="0"/>
            <wp:positionH relativeFrom="margin">
              <wp:posOffset>149225</wp:posOffset>
            </wp:positionH>
            <wp:positionV relativeFrom="paragraph">
              <wp:posOffset>2778438</wp:posOffset>
            </wp:positionV>
            <wp:extent cx="4741545" cy="233680"/>
            <wp:effectExtent l="0" t="0" r="1905" b="0"/>
            <wp:wrapTopAndBottom/>
            <wp:docPr id="18" name="Picture 18" descr="C:\Users\emerickchew\Documents\R\stat1 outputs\individual graphs\index_clus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erickchew\Documents\R\stat1 outputs\individual graphs\index_clust1.jpeg"/>
                    <pic:cNvPicPr>
                      <a:picLocks noChangeAspect="1" noChangeArrowheads="1"/>
                    </pic:cNvPicPr>
                  </pic:nvPicPr>
                  <pic:blipFill rotWithShape="1">
                    <a:blip r:embed="rId60">
                      <a:extLst>
                        <a:ext uri="{28A0092B-C50C-407E-A947-70E740481C1C}">
                          <a14:useLocalDpi xmlns:a14="http://schemas.microsoft.com/office/drawing/2010/main" val="0"/>
                        </a:ext>
                      </a:extLst>
                    </a:blip>
                    <a:srcRect l="7056" t="86190" r="5828" b="6667"/>
                    <a:stretch/>
                  </pic:blipFill>
                  <pic:spPr bwMode="auto">
                    <a:xfrm>
                      <a:off x="0" y="0"/>
                      <a:ext cx="4741545" cy="233680"/>
                    </a:xfrm>
                    <a:prstGeom prst="rect">
                      <a:avLst/>
                    </a:prstGeom>
                    <a:noFill/>
                    <a:ln>
                      <a:noFill/>
                    </a:ln>
                    <a:extLst>
                      <a:ext uri="{53640926-AAD7-44D8-BBD7-CCE9431645EC}">
                        <a14:shadowObscured xmlns:a14="http://schemas.microsoft.com/office/drawing/2010/main"/>
                      </a:ext>
                    </a:extLst>
                  </pic:spPr>
                </pic:pic>
              </a:graphicData>
            </a:graphic>
          </wp:anchor>
        </w:drawing>
      </w:r>
      <w:r w:rsidR="0037279C">
        <w:t>Modal plot</w:t>
      </w:r>
    </w:p>
    <w:p w14:paraId="269B5255" w14:textId="39923411" w:rsidR="0066118B" w:rsidRDefault="0066118B" w:rsidP="00573038">
      <w:pPr>
        <w:pStyle w:val="Figuretitle"/>
        <w:rPr>
          <w:rFonts w:ascii="Trebuchet MS" w:hAnsi="Trebuchet MS"/>
          <w:sz w:val="19"/>
          <w:szCs w:val="19"/>
        </w:rPr>
      </w:pPr>
      <w:bookmarkStart w:id="339" w:name="_Toc14444586"/>
      <w:bookmarkStart w:id="340" w:name="_Toc15047793"/>
      <w:bookmarkStart w:id="341" w:name="_Toc15047882"/>
    </w:p>
    <w:p w14:paraId="689FCB3D" w14:textId="00F4580D" w:rsidR="0066118B" w:rsidRDefault="0066118B" w:rsidP="00573038">
      <w:pPr>
        <w:pStyle w:val="Figuretitle"/>
        <w:rPr>
          <w:rFonts w:ascii="Trebuchet MS" w:hAnsi="Trebuchet MS"/>
          <w:sz w:val="19"/>
          <w:szCs w:val="19"/>
        </w:rPr>
      </w:pPr>
    </w:p>
    <w:bookmarkEnd w:id="339"/>
    <w:bookmarkEnd w:id="340"/>
    <w:bookmarkEnd w:id="341"/>
    <w:p w14:paraId="4E12ABCD" w14:textId="77777777" w:rsidR="0066118B" w:rsidRDefault="0066118B" w:rsidP="00573038">
      <w:pPr>
        <w:pStyle w:val="Figuretitle"/>
        <w:rPr>
          <w:rFonts w:ascii="Trebuchet MS" w:hAnsi="Trebuchet MS"/>
          <w:sz w:val="19"/>
          <w:szCs w:val="19"/>
        </w:rPr>
      </w:pPr>
    </w:p>
    <w:p w14:paraId="1C888FD7" w14:textId="77777777" w:rsidR="0066118B" w:rsidRDefault="0066118B" w:rsidP="00573038">
      <w:pPr>
        <w:pStyle w:val="Figuretitle"/>
        <w:rPr>
          <w:rFonts w:ascii="Trebuchet MS" w:hAnsi="Trebuchet MS"/>
          <w:sz w:val="19"/>
          <w:szCs w:val="19"/>
        </w:rPr>
      </w:pPr>
    </w:p>
    <w:p w14:paraId="0FBD04D2" w14:textId="77777777" w:rsidR="0066118B" w:rsidRDefault="0066118B" w:rsidP="00573038">
      <w:pPr>
        <w:pStyle w:val="Figuretitle"/>
        <w:rPr>
          <w:rFonts w:ascii="Trebuchet MS" w:hAnsi="Trebuchet MS"/>
          <w:sz w:val="19"/>
          <w:szCs w:val="19"/>
        </w:rPr>
      </w:pPr>
    </w:p>
    <w:p w14:paraId="6D07E775" w14:textId="77777777" w:rsidR="0066118B" w:rsidRDefault="0066118B" w:rsidP="00573038">
      <w:pPr>
        <w:pStyle w:val="Figuretitle"/>
        <w:rPr>
          <w:rFonts w:ascii="Trebuchet MS" w:hAnsi="Trebuchet MS"/>
          <w:sz w:val="19"/>
          <w:szCs w:val="19"/>
        </w:rPr>
      </w:pPr>
    </w:p>
    <w:p w14:paraId="2EDE879E" w14:textId="616EA6F5" w:rsidR="00573038" w:rsidRPr="00573038" w:rsidRDefault="000F0453" w:rsidP="00573038">
      <w:pPr>
        <w:pStyle w:val="Figuretitle"/>
        <w:rPr>
          <w:rFonts w:ascii="Trebuchet MS" w:hAnsi="Trebuchet MS"/>
          <w:sz w:val="19"/>
          <w:szCs w:val="19"/>
        </w:rPr>
      </w:pPr>
      <w:bookmarkStart w:id="342" w:name="_Toc19001714"/>
      <w:r w:rsidRPr="00573038">
        <w:rPr>
          <w:rFonts w:ascii="Trebuchet MS" w:hAnsi="Trebuchet MS"/>
          <w:sz w:val="19"/>
          <w:szCs w:val="19"/>
        </w:rPr>
        <w:lastRenderedPageBreak/>
        <w:t>Pathway 2</w:t>
      </w:r>
      <w:r w:rsidR="002700FA" w:rsidRPr="00573038">
        <w:rPr>
          <w:rFonts w:ascii="Trebuchet MS" w:hAnsi="Trebuchet MS"/>
          <w:sz w:val="19"/>
          <w:szCs w:val="19"/>
        </w:rPr>
        <w:t>:</w:t>
      </w:r>
      <w:r w:rsidRPr="00573038">
        <w:rPr>
          <w:rFonts w:ascii="Trebuchet MS" w:hAnsi="Trebuchet MS"/>
          <w:sz w:val="19"/>
          <w:szCs w:val="19"/>
        </w:rPr>
        <w:t xml:space="preserve"> Early entry to full-time work (23% of the sample)</w:t>
      </w:r>
      <w:bookmarkEnd w:id="342"/>
    </w:p>
    <w:p w14:paraId="5D638C9D" w14:textId="6C75FEC8" w:rsidR="00573038" w:rsidRDefault="00573038" w:rsidP="00A57050">
      <w:pPr>
        <w:pStyle w:val="Figuretitle"/>
      </w:pPr>
      <w:r w:rsidRPr="006531FD">
        <w:rPr>
          <w:noProof/>
        </w:rPr>
        <w:drawing>
          <wp:anchor distT="0" distB="0" distL="114300" distR="114300" simplePos="0" relativeHeight="252050432" behindDoc="0" locked="0" layoutInCell="1" allowOverlap="1" wp14:anchorId="05BC308D" wp14:editId="37E86F81">
            <wp:simplePos x="0" y="0"/>
            <wp:positionH relativeFrom="margin">
              <wp:align>center</wp:align>
            </wp:positionH>
            <wp:positionV relativeFrom="paragraph">
              <wp:posOffset>2720827</wp:posOffset>
            </wp:positionV>
            <wp:extent cx="4741545" cy="234311"/>
            <wp:effectExtent l="0" t="0" r="0" b="0"/>
            <wp:wrapTopAndBottom/>
            <wp:docPr id="19" name="Picture 19" descr="C:\Users\emerickchew\Documents\R\stat1 outputs\individual graphs\index_clus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erickchew\Documents\R\stat1 outputs\individual graphs\index_clust1.jpeg"/>
                    <pic:cNvPicPr>
                      <a:picLocks noChangeAspect="1" noChangeArrowheads="1"/>
                    </pic:cNvPicPr>
                  </pic:nvPicPr>
                  <pic:blipFill rotWithShape="1">
                    <a:blip r:embed="rId60">
                      <a:extLst>
                        <a:ext uri="{28A0092B-C50C-407E-A947-70E740481C1C}">
                          <a14:useLocalDpi xmlns:a14="http://schemas.microsoft.com/office/drawing/2010/main" val="0"/>
                        </a:ext>
                      </a:extLst>
                    </a:blip>
                    <a:srcRect l="7056" t="86190" r="5828" b="6667"/>
                    <a:stretch/>
                  </pic:blipFill>
                  <pic:spPr bwMode="auto">
                    <a:xfrm>
                      <a:off x="0" y="0"/>
                      <a:ext cx="4741545" cy="234311"/>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US"/>
        </w:rPr>
        <w:drawing>
          <wp:anchor distT="0" distB="0" distL="114300" distR="114300" simplePos="0" relativeHeight="252032000" behindDoc="0" locked="0" layoutInCell="1" allowOverlap="1" wp14:anchorId="6BF3B760" wp14:editId="096D752C">
            <wp:simplePos x="0" y="0"/>
            <wp:positionH relativeFrom="margin">
              <wp:align>left</wp:align>
            </wp:positionH>
            <wp:positionV relativeFrom="paragraph">
              <wp:posOffset>466725</wp:posOffset>
            </wp:positionV>
            <wp:extent cx="5038725" cy="2371725"/>
            <wp:effectExtent l="0" t="0" r="9525" b="952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a:extLst>
                        <a:ext uri="{28A0092B-C50C-407E-A947-70E740481C1C}">
                          <a14:useLocalDpi xmlns:a14="http://schemas.microsoft.com/office/drawing/2010/main" val="0"/>
                        </a:ext>
                      </a:extLst>
                    </a:blip>
                    <a:srcRect t="13031" b="16430"/>
                    <a:stretch/>
                  </pic:blipFill>
                  <pic:spPr bwMode="auto">
                    <a:xfrm>
                      <a:off x="0" y="0"/>
                      <a:ext cx="5038725"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0453" w:rsidRPr="006531FD">
        <w:t>Sequence Index plot</w:t>
      </w:r>
      <w:bookmarkStart w:id="343" w:name="_Hlk10190917"/>
    </w:p>
    <w:p w14:paraId="19DD8284" w14:textId="1FBA195F" w:rsidR="00573038" w:rsidRDefault="00573038" w:rsidP="00573038">
      <w:pPr>
        <w:rPr>
          <w:b/>
          <w:sz w:val="18"/>
        </w:rPr>
      </w:pPr>
    </w:p>
    <w:p w14:paraId="66BED10F" w14:textId="2D478B69" w:rsidR="00B929D9" w:rsidRPr="00573038" w:rsidRDefault="007A3945" w:rsidP="007A3945">
      <w:pPr>
        <w:pStyle w:val="Figuretitle"/>
      </w:pPr>
      <w:r>
        <w:rPr>
          <w:noProof/>
          <w:lang w:val="en-US"/>
        </w:rPr>
        <w:drawing>
          <wp:anchor distT="0" distB="0" distL="114300" distR="114300" simplePos="0" relativeHeight="252033024" behindDoc="0" locked="0" layoutInCell="1" allowOverlap="1" wp14:anchorId="11073389" wp14:editId="43EDB30F">
            <wp:simplePos x="0" y="0"/>
            <wp:positionH relativeFrom="margin">
              <wp:posOffset>0</wp:posOffset>
            </wp:positionH>
            <wp:positionV relativeFrom="paragraph">
              <wp:posOffset>409575</wp:posOffset>
            </wp:positionV>
            <wp:extent cx="5038725" cy="2390775"/>
            <wp:effectExtent l="0" t="0" r="9525" b="9525"/>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4">
                      <a:extLst>
                        <a:ext uri="{28A0092B-C50C-407E-A947-70E740481C1C}">
                          <a14:useLocalDpi xmlns:a14="http://schemas.microsoft.com/office/drawing/2010/main" val="0"/>
                        </a:ext>
                      </a:extLst>
                    </a:blip>
                    <a:srcRect t="12748" b="16148"/>
                    <a:stretch/>
                  </pic:blipFill>
                  <pic:spPr bwMode="auto">
                    <a:xfrm>
                      <a:off x="0" y="0"/>
                      <a:ext cx="5038725"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31FD">
        <w:rPr>
          <w:noProof/>
        </w:rPr>
        <w:drawing>
          <wp:anchor distT="0" distB="0" distL="114300" distR="114300" simplePos="0" relativeHeight="252052480" behindDoc="0" locked="0" layoutInCell="1" allowOverlap="1" wp14:anchorId="7990B815" wp14:editId="12B0EA89">
            <wp:simplePos x="0" y="0"/>
            <wp:positionH relativeFrom="margin">
              <wp:posOffset>149225</wp:posOffset>
            </wp:positionH>
            <wp:positionV relativeFrom="paragraph">
              <wp:posOffset>2681292</wp:posOffset>
            </wp:positionV>
            <wp:extent cx="4741545" cy="233680"/>
            <wp:effectExtent l="0" t="0" r="1905" b="0"/>
            <wp:wrapTopAndBottom/>
            <wp:docPr id="20" name="Picture 20" descr="C:\Users\emerickchew\Documents\R\stat1 outputs\individual graphs\index_clus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erickchew\Documents\R\stat1 outputs\individual graphs\index_clust1.jpeg"/>
                    <pic:cNvPicPr>
                      <a:picLocks noChangeAspect="1" noChangeArrowheads="1"/>
                    </pic:cNvPicPr>
                  </pic:nvPicPr>
                  <pic:blipFill rotWithShape="1">
                    <a:blip r:embed="rId60">
                      <a:extLst>
                        <a:ext uri="{28A0092B-C50C-407E-A947-70E740481C1C}">
                          <a14:useLocalDpi xmlns:a14="http://schemas.microsoft.com/office/drawing/2010/main" val="0"/>
                        </a:ext>
                      </a:extLst>
                    </a:blip>
                    <a:srcRect l="7056" t="86190" r="5828" b="6667"/>
                    <a:stretch/>
                  </pic:blipFill>
                  <pic:spPr bwMode="auto">
                    <a:xfrm>
                      <a:off x="0" y="0"/>
                      <a:ext cx="4741545" cy="233680"/>
                    </a:xfrm>
                    <a:prstGeom prst="rect">
                      <a:avLst/>
                    </a:prstGeom>
                    <a:noFill/>
                    <a:ln>
                      <a:noFill/>
                    </a:ln>
                    <a:extLst>
                      <a:ext uri="{53640926-AAD7-44D8-BBD7-CCE9431645EC}">
                        <a14:shadowObscured xmlns:a14="http://schemas.microsoft.com/office/drawing/2010/main"/>
                      </a:ext>
                    </a:extLst>
                  </pic:spPr>
                </pic:pic>
              </a:graphicData>
            </a:graphic>
          </wp:anchor>
        </w:drawing>
      </w:r>
      <w:r w:rsidR="00B929D9">
        <w:t>Modal plot</w:t>
      </w:r>
    </w:p>
    <w:p w14:paraId="45518DF8" w14:textId="77777777" w:rsidR="0066118B" w:rsidRDefault="0066118B" w:rsidP="000C6AB3">
      <w:pPr>
        <w:pStyle w:val="Figuretitle"/>
        <w:ind w:left="0" w:firstLine="0"/>
        <w:rPr>
          <w:sz w:val="18"/>
          <w:szCs w:val="18"/>
        </w:rPr>
      </w:pPr>
      <w:bookmarkStart w:id="344" w:name="_Toc14444587"/>
      <w:bookmarkStart w:id="345" w:name="_Toc15047794"/>
      <w:bookmarkStart w:id="346" w:name="_Toc15047883"/>
      <w:bookmarkEnd w:id="343"/>
    </w:p>
    <w:p w14:paraId="3DF14E5E" w14:textId="77777777" w:rsidR="0066118B" w:rsidRDefault="0066118B" w:rsidP="000C6AB3">
      <w:pPr>
        <w:pStyle w:val="Figuretitle"/>
        <w:ind w:left="0" w:firstLine="0"/>
        <w:rPr>
          <w:sz w:val="18"/>
          <w:szCs w:val="18"/>
        </w:rPr>
      </w:pPr>
    </w:p>
    <w:p w14:paraId="6DD27478" w14:textId="77777777" w:rsidR="0066118B" w:rsidRDefault="0066118B" w:rsidP="000C6AB3">
      <w:pPr>
        <w:pStyle w:val="Figuretitle"/>
        <w:ind w:left="0" w:firstLine="0"/>
        <w:rPr>
          <w:sz w:val="18"/>
          <w:szCs w:val="18"/>
        </w:rPr>
      </w:pPr>
    </w:p>
    <w:p w14:paraId="31EF051F" w14:textId="77777777" w:rsidR="0066118B" w:rsidRDefault="0066118B" w:rsidP="000C6AB3">
      <w:pPr>
        <w:pStyle w:val="Figuretitle"/>
        <w:ind w:left="0" w:firstLine="0"/>
        <w:rPr>
          <w:sz w:val="18"/>
          <w:szCs w:val="18"/>
        </w:rPr>
      </w:pPr>
    </w:p>
    <w:p w14:paraId="6BA55507" w14:textId="77777777" w:rsidR="0066118B" w:rsidRDefault="0066118B" w:rsidP="000C6AB3">
      <w:pPr>
        <w:pStyle w:val="Figuretitle"/>
        <w:ind w:left="0" w:firstLine="0"/>
        <w:rPr>
          <w:sz w:val="18"/>
          <w:szCs w:val="18"/>
        </w:rPr>
      </w:pPr>
    </w:p>
    <w:p w14:paraId="7F91E446" w14:textId="77777777" w:rsidR="0066118B" w:rsidRDefault="0066118B" w:rsidP="000C6AB3">
      <w:pPr>
        <w:pStyle w:val="Figuretitle"/>
        <w:ind w:left="0" w:firstLine="0"/>
        <w:rPr>
          <w:sz w:val="18"/>
          <w:szCs w:val="18"/>
        </w:rPr>
      </w:pPr>
    </w:p>
    <w:p w14:paraId="67B74138" w14:textId="77777777" w:rsidR="0066118B" w:rsidRDefault="0066118B" w:rsidP="000C6AB3">
      <w:pPr>
        <w:pStyle w:val="Figuretitle"/>
        <w:ind w:left="0" w:firstLine="0"/>
        <w:rPr>
          <w:sz w:val="18"/>
          <w:szCs w:val="18"/>
        </w:rPr>
      </w:pPr>
    </w:p>
    <w:p w14:paraId="53347C5B" w14:textId="77777777" w:rsidR="0066118B" w:rsidRDefault="0066118B" w:rsidP="000C6AB3">
      <w:pPr>
        <w:pStyle w:val="Figuretitle"/>
        <w:ind w:left="0" w:firstLine="0"/>
        <w:rPr>
          <w:sz w:val="18"/>
          <w:szCs w:val="18"/>
        </w:rPr>
      </w:pPr>
    </w:p>
    <w:p w14:paraId="3A807F0A" w14:textId="7C4DE419" w:rsidR="000C6AB3" w:rsidRPr="006531FD" w:rsidRDefault="000C6AB3" w:rsidP="000C6AB3">
      <w:pPr>
        <w:pStyle w:val="Figuretitle"/>
        <w:ind w:left="0" w:firstLine="0"/>
        <w:rPr>
          <w:noProof/>
          <w:sz w:val="18"/>
          <w:szCs w:val="18"/>
          <w:lang w:val="en-US"/>
        </w:rPr>
      </w:pPr>
      <w:bookmarkStart w:id="347" w:name="_Toc19001715"/>
      <w:r w:rsidRPr="006531FD">
        <w:rPr>
          <w:sz w:val="18"/>
          <w:szCs w:val="18"/>
        </w:rPr>
        <w:lastRenderedPageBreak/>
        <w:t>Pathway 3</w:t>
      </w:r>
      <w:r w:rsidR="002700FA">
        <w:rPr>
          <w:sz w:val="18"/>
          <w:szCs w:val="18"/>
        </w:rPr>
        <w:t>:</w:t>
      </w:r>
      <w:r w:rsidRPr="006531FD">
        <w:rPr>
          <w:sz w:val="18"/>
          <w:szCs w:val="18"/>
        </w:rPr>
        <w:t xml:space="preserve"> Mix of higher education and VET (8% of the sample)</w:t>
      </w:r>
      <w:bookmarkEnd w:id="344"/>
      <w:bookmarkEnd w:id="345"/>
      <w:bookmarkEnd w:id="346"/>
      <w:bookmarkEnd w:id="347"/>
      <w:r w:rsidRPr="006531FD">
        <w:rPr>
          <w:noProof/>
          <w:sz w:val="18"/>
          <w:szCs w:val="18"/>
          <w:lang w:val="en-US"/>
        </w:rPr>
        <w:t xml:space="preserve"> </w:t>
      </w:r>
    </w:p>
    <w:p w14:paraId="6BBE0A43" w14:textId="21E363AB" w:rsidR="0037279C" w:rsidRPr="006531FD" w:rsidRDefault="00573038" w:rsidP="00A57050">
      <w:pPr>
        <w:pStyle w:val="Figuretitle"/>
      </w:pPr>
      <w:bookmarkStart w:id="348" w:name="_Toc14444588"/>
      <w:bookmarkStart w:id="349" w:name="_Toc15047795"/>
      <w:bookmarkStart w:id="350" w:name="_Toc15047884"/>
      <w:r w:rsidRPr="006531FD">
        <w:rPr>
          <w:noProof/>
        </w:rPr>
        <w:drawing>
          <wp:anchor distT="0" distB="0" distL="114300" distR="114300" simplePos="0" relativeHeight="252054528" behindDoc="0" locked="0" layoutInCell="1" allowOverlap="1" wp14:anchorId="737CE3EF" wp14:editId="2E6B14DC">
            <wp:simplePos x="0" y="0"/>
            <wp:positionH relativeFrom="margin">
              <wp:align>center</wp:align>
            </wp:positionH>
            <wp:positionV relativeFrom="paragraph">
              <wp:posOffset>2758233</wp:posOffset>
            </wp:positionV>
            <wp:extent cx="4741545" cy="234311"/>
            <wp:effectExtent l="0" t="0" r="0" b="0"/>
            <wp:wrapTopAndBottom/>
            <wp:docPr id="44" name="Picture 44" descr="C:\Users\emerickchew\Documents\R\stat1 outputs\individual graphs\index_clus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erickchew\Documents\R\stat1 outputs\individual graphs\index_clust1.jpeg"/>
                    <pic:cNvPicPr>
                      <a:picLocks noChangeAspect="1" noChangeArrowheads="1"/>
                    </pic:cNvPicPr>
                  </pic:nvPicPr>
                  <pic:blipFill rotWithShape="1">
                    <a:blip r:embed="rId60">
                      <a:extLst>
                        <a:ext uri="{28A0092B-C50C-407E-A947-70E740481C1C}">
                          <a14:useLocalDpi xmlns:a14="http://schemas.microsoft.com/office/drawing/2010/main" val="0"/>
                        </a:ext>
                      </a:extLst>
                    </a:blip>
                    <a:srcRect l="7056" t="86190" r="5828" b="6667"/>
                    <a:stretch/>
                  </pic:blipFill>
                  <pic:spPr bwMode="auto">
                    <a:xfrm>
                      <a:off x="0" y="0"/>
                      <a:ext cx="4741545" cy="234311"/>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US"/>
        </w:rPr>
        <w:drawing>
          <wp:anchor distT="0" distB="0" distL="114300" distR="114300" simplePos="0" relativeHeight="252034048" behindDoc="0" locked="0" layoutInCell="1" allowOverlap="1" wp14:anchorId="32E0E700" wp14:editId="26350542">
            <wp:simplePos x="0" y="0"/>
            <wp:positionH relativeFrom="margin">
              <wp:align>left</wp:align>
            </wp:positionH>
            <wp:positionV relativeFrom="paragraph">
              <wp:posOffset>407035</wp:posOffset>
            </wp:positionV>
            <wp:extent cx="5038725" cy="2466975"/>
            <wp:effectExtent l="0" t="0" r="9525" b="952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5">
                      <a:extLst>
                        <a:ext uri="{28A0092B-C50C-407E-A947-70E740481C1C}">
                          <a14:useLocalDpi xmlns:a14="http://schemas.microsoft.com/office/drawing/2010/main" val="0"/>
                        </a:ext>
                      </a:extLst>
                    </a:blip>
                    <a:srcRect t="9915" b="16714"/>
                    <a:stretch/>
                  </pic:blipFill>
                  <pic:spPr bwMode="auto">
                    <a:xfrm>
                      <a:off x="0" y="0"/>
                      <a:ext cx="5038725" cy="246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48"/>
      <w:bookmarkEnd w:id="349"/>
      <w:bookmarkEnd w:id="350"/>
      <w:r w:rsidR="0037279C" w:rsidRPr="006531FD">
        <w:t>Sequence Index plot</w:t>
      </w:r>
    </w:p>
    <w:p w14:paraId="5606957B" w14:textId="62D55B67" w:rsidR="00573038" w:rsidRDefault="00573038" w:rsidP="000F0453">
      <w:pPr>
        <w:keepNext/>
        <w:keepLines/>
        <w:spacing w:line="240" w:lineRule="auto"/>
        <w:rPr>
          <w:b/>
          <w:sz w:val="18"/>
        </w:rPr>
      </w:pPr>
      <w:bookmarkStart w:id="351" w:name="_Toc14444589"/>
      <w:bookmarkStart w:id="352" w:name="_Toc15047796"/>
      <w:bookmarkStart w:id="353" w:name="_Toc15047885"/>
    </w:p>
    <w:p w14:paraId="17BA0D11" w14:textId="38B578EF" w:rsidR="000F0453" w:rsidRDefault="0066118B" w:rsidP="007A3945">
      <w:pPr>
        <w:pStyle w:val="Figuretitle"/>
      </w:pPr>
      <w:r w:rsidRPr="007A3945">
        <w:rPr>
          <w:noProof/>
        </w:rPr>
        <w:drawing>
          <wp:anchor distT="0" distB="0" distL="114300" distR="114300" simplePos="0" relativeHeight="252056576" behindDoc="0" locked="0" layoutInCell="1" allowOverlap="1" wp14:anchorId="31DA0077" wp14:editId="24ED2FA2">
            <wp:simplePos x="0" y="0"/>
            <wp:positionH relativeFrom="margin">
              <wp:align>center</wp:align>
            </wp:positionH>
            <wp:positionV relativeFrom="paragraph">
              <wp:posOffset>2687334</wp:posOffset>
            </wp:positionV>
            <wp:extent cx="4741545" cy="234311"/>
            <wp:effectExtent l="0" t="0" r="0" b="0"/>
            <wp:wrapTopAndBottom/>
            <wp:docPr id="45" name="Picture 45" descr="C:\Users\emerickchew\Documents\R\stat1 outputs\individual graphs\index_clus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erickchew\Documents\R\stat1 outputs\individual graphs\index_clust1.jpeg"/>
                    <pic:cNvPicPr>
                      <a:picLocks noChangeAspect="1" noChangeArrowheads="1"/>
                    </pic:cNvPicPr>
                  </pic:nvPicPr>
                  <pic:blipFill rotWithShape="1">
                    <a:blip r:embed="rId60">
                      <a:extLst>
                        <a:ext uri="{28A0092B-C50C-407E-A947-70E740481C1C}">
                          <a14:useLocalDpi xmlns:a14="http://schemas.microsoft.com/office/drawing/2010/main" val="0"/>
                        </a:ext>
                      </a:extLst>
                    </a:blip>
                    <a:srcRect l="7056" t="86190" r="5828" b="6667"/>
                    <a:stretch/>
                  </pic:blipFill>
                  <pic:spPr bwMode="auto">
                    <a:xfrm>
                      <a:off x="0" y="0"/>
                      <a:ext cx="4741545" cy="234311"/>
                    </a:xfrm>
                    <a:prstGeom prst="rect">
                      <a:avLst/>
                    </a:prstGeom>
                    <a:noFill/>
                    <a:ln>
                      <a:noFill/>
                    </a:ln>
                    <a:extLst>
                      <a:ext uri="{53640926-AAD7-44D8-BBD7-CCE9431645EC}">
                        <a14:shadowObscured xmlns:a14="http://schemas.microsoft.com/office/drawing/2010/main"/>
                      </a:ext>
                    </a:extLst>
                  </pic:spPr>
                </pic:pic>
              </a:graphicData>
            </a:graphic>
          </wp:anchor>
        </w:drawing>
      </w:r>
      <w:r w:rsidRPr="007A3945">
        <w:rPr>
          <w:noProof/>
        </w:rPr>
        <w:drawing>
          <wp:anchor distT="0" distB="0" distL="114300" distR="114300" simplePos="0" relativeHeight="252035072" behindDoc="0" locked="0" layoutInCell="1" allowOverlap="1" wp14:anchorId="53BC6950" wp14:editId="3376C086">
            <wp:simplePos x="0" y="0"/>
            <wp:positionH relativeFrom="margin">
              <wp:align>left</wp:align>
            </wp:positionH>
            <wp:positionV relativeFrom="paragraph">
              <wp:posOffset>397879</wp:posOffset>
            </wp:positionV>
            <wp:extent cx="5038725" cy="2343150"/>
            <wp:effectExtent l="0" t="0" r="9525" b="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6">
                      <a:extLst>
                        <a:ext uri="{28A0092B-C50C-407E-A947-70E740481C1C}">
                          <a14:useLocalDpi xmlns:a14="http://schemas.microsoft.com/office/drawing/2010/main" val="0"/>
                        </a:ext>
                      </a:extLst>
                    </a:blip>
                    <a:srcRect t="12182" b="18130"/>
                    <a:stretch/>
                  </pic:blipFill>
                  <pic:spPr bwMode="auto">
                    <a:xfrm>
                      <a:off x="0" y="0"/>
                      <a:ext cx="5038725"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51"/>
      <w:bookmarkEnd w:id="352"/>
      <w:bookmarkEnd w:id="353"/>
      <w:r w:rsidR="000F0453" w:rsidRPr="007A3945">
        <w:t>M</w:t>
      </w:r>
      <w:r w:rsidR="000F0453">
        <w:t>odal plot</w:t>
      </w:r>
    </w:p>
    <w:p w14:paraId="152976AA" w14:textId="3A492647" w:rsidR="00573038" w:rsidRDefault="00573038" w:rsidP="000C6AB3">
      <w:pPr>
        <w:pStyle w:val="Figuretitle"/>
        <w:ind w:left="0" w:firstLine="0"/>
        <w:rPr>
          <w:sz w:val="18"/>
          <w:szCs w:val="18"/>
        </w:rPr>
      </w:pPr>
      <w:bookmarkStart w:id="354" w:name="_Toc14444590"/>
      <w:bookmarkStart w:id="355" w:name="_Toc15047797"/>
      <w:bookmarkStart w:id="356" w:name="_Toc15047886"/>
    </w:p>
    <w:p w14:paraId="234E5620" w14:textId="08E4039E" w:rsidR="0066118B" w:rsidRDefault="0066118B" w:rsidP="000C6AB3">
      <w:pPr>
        <w:pStyle w:val="Figuretitle"/>
        <w:ind w:left="0" w:firstLine="0"/>
        <w:rPr>
          <w:sz w:val="18"/>
          <w:szCs w:val="18"/>
        </w:rPr>
      </w:pPr>
    </w:p>
    <w:p w14:paraId="2E6B88F6" w14:textId="6E72008F" w:rsidR="0066118B" w:rsidRDefault="0066118B" w:rsidP="000C6AB3">
      <w:pPr>
        <w:pStyle w:val="Figuretitle"/>
        <w:ind w:left="0" w:firstLine="0"/>
        <w:rPr>
          <w:sz w:val="18"/>
          <w:szCs w:val="18"/>
        </w:rPr>
      </w:pPr>
    </w:p>
    <w:p w14:paraId="268C5AD2" w14:textId="71850147" w:rsidR="0066118B" w:rsidRDefault="0066118B" w:rsidP="000C6AB3">
      <w:pPr>
        <w:pStyle w:val="Figuretitle"/>
        <w:ind w:left="0" w:firstLine="0"/>
        <w:rPr>
          <w:sz w:val="18"/>
          <w:szCs w:val="18"/>
        </w:rPr>
      </w:pPr>
    </w:p>
    <w:p w14:paraId="168EFC94" w14:textId="067C6FF1" w:rsidR="0066118B" w:rsidRDefault="0066118B" w:rsidP="000C6AB3">
      <w:pPr>
        <w:pStyle w:val="Figuretitle"/>
        <w:ind w:left="0" w:firstLine="0"/>
        <w:rPr>
          <w:sz w:val="18"/>
          <w:szCs w:val="18"/>
        </w:rPr>
      </w:pPr>
    </w:p>
    <w:p w14:paraId="6EDF3089" w14:textId="0355FC9F" w:rsidR="0066118B" w:rsidRDefault="0066118B" w:rsidP="000C6AB3">
      <w:pPr>
        <w:pStyle w:val="Figuretitle"/>
        <w:ind w:left="0" w:firstLine="0"/>
        <w:rPr>
          <w:sz w:val="18"/>
          <w:szCs w:val="18"/>
        </w:rPr>
      </w:pPr>
    </w:p>
    <w:p w14:paraId="14C91530" w14:textId="77777777" w:rsidR="0066118B" w:rsidRDefault="0066118B" w:rsidP="000C6AB3">
      <w:pPr>
        <w:pStyle w:val="Figuretitle"/>
        <w:ind w:left="0" w:firstLine="0"/>
        <w:rPr>
          <w:sz w:val="18"/>
          <w:szCs w:val="18"/>
        </w:rPr>
      </w:pPr>
    </w:p>
    <w:p w14:paraId="672564C4" w14:textId="0DD11CEF" w:rsidR="00573038" w:rsidRDefault="00573038" w:rsidP="000C6AB3">
      <w:pPr>
        <w:pStyle w:val="Figuretitle"/>
        <w:ind w:left="0" w:firstLine="0"/>
        <w:rPr>
          <w:sz w:val="18"/>
          <w:szCs w:val="18"/>
        </w:rPr>
      </w:pPr>
    </w:p>
    <w:p w14:paraId="1B4F40DE" w14:textId="5F7C75E3" w:rsidR="000C6AB3" w:rsidRPr="006531FD" w:rsidRDefault="000C6AB3" w:rsidP="000C6AB3">
      <w:pPr>
        <w:pStyle w:val="Figuretitle"/>
        <w:ind w:left="0" w:firstLine="0"/>
        <w:rPr>
          <w:sz w:val="18"/>
          <w:szCs w:val="18"/>
        </w:rPr>
      </w:pPr>
      <w:bookmarkStart w:id="357" w:name="_Toc19001716"/>
      <w:r w:rsidRPr="006531FD">
        <w:rPr>
          <w:sz w:val="18"/>
          <w:szCs w:val="18"/>
        </w:rPr>
        <w:lastRenderedPageBreak/>
        <w:t>Pathway 4</w:t>
      </w:r>
      <w:r w:rsidR="002700FA">
        <w:rPr>
          <w:sz w:val="18"/>
          <w:szCs w:val="18"/>
        </w:rPr>
        <w:t xml:space="preserve">: </w:t>
      </w:r>
      <w:r w:rsidRPr="006531FD">
        <w:rPr>
          <w:sz w:val="18"/>
          <w:szCs w:val="18"/>
        </w:rPr>
        <w:t>Churning and NILF (5% of the sample)</w:t>
      </w:r>
      <w:bookmarkEnd w:id="354"/>
      <w:bookmarkEnd w:id="355"/>
      <w:bookmarkEnd w:id="356"/>
      <w:bookmarkEnd w:id="357"/>
    </w:p>
    <w:p w14:paraId="4326B649" w14:textId="740BFA78" w:rsidR="000F0453" w:rsidRDefault="0066118B" w:rsidP="00A57050">
      <w:pPr>
        <w:pStyle w:val="Figuretitle"/>
      </w:pPr>
      <w:r w:rsidRPr="006531FD">
        <w:rPr>
          <w:noProof/>
        </w:rPr>
        <w:drawing>
          <wp:anchor distT="0" distB="0" distL="114300" distR="114300" simplePos="0" relativeHeight="252058624" behindDoc="0" locked="0" layoutInCell="1" allowOverlap="1" wp14:anchorId="642A0B7E" wp14:editId="0A94D525">
            <wp:simplePos x="0" y="0"/>
            <wp:positionH relativeFrom="margin">
              <wp:align>center</wp:align>
            </wp:positionH>
            <wp:positionV relativeFrom="paragraph">
              <wp:posOffset>2576372</wp:posOffset>
            </wp:positionV>
            <wp:extent cx="4741545" cy="234311"/>
            <wp:effectExtent l="0" t="0" r="0" b="0"/>
            <wp:wrapTopAndBottom/>
            <wp:docPr id="50" name="Picture 50" descr="C:\Users\emerickchew\Documents\R\stat1 outputs\individual graphs\index_clus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erickchew\Documents\R\stat1 outputs\individual graphs\index_clust1.jpeg"/>
                    <pic:cNvPicPr>
                      <a:picLocks noChangeAspect="1" noChangeArrowheads="1"/>
                    </pic:cNvPicPr>
                  </pic:nvPicPr>
                  <pic:blipFill rotWithShape="1">
                    <a:blip r:embed="rId60">
                      <a:extLst>
                        <a:ext uri="{28A0092B-C50C-407E-A947-70E740481C1C}">
                          <a14:useLocalDpi xmlns:a14="http://schemas.microsoft.com/office/drawing/2010/main" val="0"/>
                        </a:ext>
                      </a:extLst>
                    </a:blip>
                    <a:srcRect l="7056" t="86190" r="5828" b="6667"/>
                    <a:stretch/>
                  </pic:blipFill>
                  <pic:spPr bwMode="auto">
                    <a:xfrm>
                      <a:off x="0" y="0"/>
                      <a:ext cx="4741545" cy="234311"/>
                    </a:xfrm>
                    <a:prstGeom prst="rect">
                      <a:avLst/>
                    </a:prstGeom>
                    <a:noFill/>
                    <a:ln>
                      <a:noFill/>
                    </a:ln>
                    <a:extLst>
                      <a:ext uri="{53640926-AAD7-44D8-BBD7-CCE9431645EC}">
                        <a14:shadowObscured xmlns:a14="http://schemas.microsoft.com/office/drawing/2010/main"/>
                      </a:ext>
                    </a:extLst>
                  </pic:spPr>
                </pic:pic>
              </a:graphicData>
            </a:graphic>
          </wp:anchor>
        </w:drawing>
      </w:r>
      <w:r w:rsidR="000F0453">
        <w:t>Sequence Index plot</w:t>
      </w:r>
    </w:p>
    <w:p w14:paraId="690613B4" w14:textId="2F6BDA1B" w:rsidR="000F0453" w:rsidRPr="007A3945" w:rsidRDefault="0066118B" w:rsidP="00B103B1">
      <w:pPr>
        <w:pStyle w:val="Figuretitle"/>
      </w:pPr>
      <w:bookmarkStart w:id="358" w:name="_Toc14444591"/>
      <w:bookmarkStart w:id="359" w:name="_Toc15047798"/>
      <w:bookmarkStart w:id="360" w:name="_Toc15047887"/>
      <w:bookmarkStart w:id="361" w:name="_Toc19001717"/>
      <w:r w:rsidRPr="00B103B1">
        <w:rPr>
          <w:noProof/>
        </w:rPr>
        <w:drawing>
          <wp:anchor distT="0" distB="0" distL="114300" distR="114300" simplePos="0" relativeHeight="252060672" behindDoc="0" locked="0" layoutInCell="1" allowOverlap="1" wp14:anchorId="3EC52734" wp14:editId="579AF87A">
            <wp:simplePos x="0" y="0"/>
            <wp:positionH relativeFrom="margin">
              <wp:align>center</wp:align>
            </wp:positionH>
            <wp:positionV relativeFrom="paragraph">
              <wp:posOffset>5466213</wp:posOffset>
            </wp:positionV>
            <wp:extent cx="4741545" cy="234311"/>
            <wp:effectExtent l="0" t="0" r="0" b="0"/>
            <wp:wrapTopAndBottom/>
            <wp:docPr id="55" name="Picture 55" descr="C:\Users\emerickchew\Documents\R\stat1 outputs\individual graphs\index_clus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erickchew\Documents\R\stat1 outputs\individual graphs\index_clust1.jpeg"/>
                    <pic:cNvPicPr>
                      <a:picLocks noChangeAspect="1" noChangeArrowheads="1"/>
                    </pic:cNvPicPr>
                  </pic:nvPicPr>
                  <pic:blipFill rotWithShape="1">
                    <a:blip r:embed="rId60">
                      <a:extLst>
                        <a:ext uri="{28A0092B-C50C-407E-A947-70E740481C1C}">
                          <a14:useLocalDpi xmlns:a14="http://schemas.microsoft.com/office/drawing/2010/main" val="0"/>
                        </a:ext>
                      </a:extLst>
                    </a:blip>
                    <a:srcRect l="7056" t="86190" r="5828" b="6667"/>
                    <a:stretch/>
                  </pic:blipFill>
                  <pic:spPr bwMode="auto">
                    <a:xfrm>
                      <a:off x="0" y="0"/>
                      <a:ext cx="4741545" cy="234311"/>
                    </a:xfrm>
                    <a:prstGeom prst="rect">
                      <a:avLst/>
                    </a:prstGeom>
                    <a:noFill/>
                    <a:ln>
                      <a:noFill/>
                    </a:ln>
                    <a:extLst>
                      <a:ext uri="{53640926-AAD7-44D8-BBD7-CCE9431645EC}">
                        <a14:shadowObscured xmlns:a14="http://schemas.microsoft.com/office/drawing/2010/main"/>
                      </a:ext>
                    </a:extLst>
                  </pic:spPr>
                </pic:pic>
              </a:graphicData>
            </a:graphic>
          </wp:anchor>
        </w:drawing>
      </w:r>
      <w:r w:rsidR="000F0453" w:rsidRPr="00B103B1">
        <w:rPr>
          <w:noProof/>
        </w:rPr>
        <w:drawing>
          <wp:anchor distT="0" distB="0" distL="114300" distR="114300" simplePos="0" relativeHeight="252036096" behindDoc="0" locked="0" layoutInCell="1" allowOverlap="1" wp14:anchorId="61BC40E6" wp14:editId="7668B2D9">
            <wp:simplePos x="0" y="0"/>
            <wp:positionH relativeFrom="margin">
              <wp:align>left</wp:align>
            </wp:positionH>
            <wp:positionV relativeFrom="paragraph">
              <wp:posOffset>23525</wp:posOffset>
            </wp:positionV>
            <wp:extent cx="5038725" cy="2466975"/>
            <wp:effectExtent l="0" t="0" r="9525" b="9525"/>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7">
                      <a:extLst>
                        <a:ext uri="{28A0092B-C50C-407E-A947-70E740481C1C}">
                          <a14:useLocalDpi xmlns:a14="http://schemas.microsoft.com/office/drawing/2010/main" val="0"/>
                        </a:ext>
                      </a:extLst>
                    </a:blip>
                    <a:srcRect t="8782" b="17846"/>
                    <a:stretch/>
                  </pic:blipFill>
                  <pic:spPr bwMode="auto">
                    <a:xfrm>
                      <a:off x="0" y="0"/>
                      <a:ext cx="5038725" cy="246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62" w:name="_Hlk10191152"/>
      <w:bookmarkEnd w:id="358"/>
      <w:bookmarkEnd w:id="359"/>
      <w:bookmarkEnd w:id="360"/>
      <w:r w:rsidR="000F0453" w:rsidRPr="00B103B1">
        <w:t>M</w:t>
      </w:r>
      <w:r w:rsidR="000F0453" w:rsidRPr="007A3945">
        <w:t>odal plot</w:t>
      </w:r>
      <w:bookmarkEnd w:id="361"/>
    </w:p>
    <w:p w14:paraId="7AC8097C" w14:textId="7B74158E" w:rsidR="00573038" w:rsidRDefault="000F0453" w:rsidP="000C6AB3">
      <w:pPr>
        <w:pStyle w:val="Figuretitle"/>
        <w:rPr>
          <w:sz w:val="18"/>
          <w:szCs w:val="18"/>
        </w:rPr>
      </w:pPr>
      <w:bookmarkStart w:id="363" w:name="_Toc14444592"/>
      <w:bookmarkStart w:id="364" w:name="_Toc15047799"/>
      <w:bookmarkStart w:id="365" w:name="_Toc15047888"/>
      <w:bookmarkStart w:id="366" w:name="_Toc19001718"/>
      <w:bookmarkEnd w:id="362"/>
      <w:r>
        <w:rPr>
          <w:b w:val="0"/>
          <w:noProof/>
          <w:lang w:val="en-US"/>
        </w:rPr>
        <w:drawing>
          <wp:anchor distT="0" distB="0" distL="114300" distR="114300" simplePos="0" relativeHeight="252037120" behindDoc="0" locked="0" layoutInCell="1" allowOverlap="1" wp14:anchorId="5F386E12" wp14:editId="41ABB3A9">
            <wp:simplePos x="0" y="0"/>
            <wp:positionH relativeFrom="column">
              <wp:posOffset>-49825</wp:posOffset>
            </wp:positionH>
            <wp:positionV relativeFrom="paragraph">
              <wp:posOffset>165381</wp:posOffset>
            </wp:positionV>
            <wp:extent cx="5038725" cy="2276475"/>
            <wp:effectExtent l="0" t="0" r="9525" b="9525"/>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8">
                      <a:extLst>
                        <a:ext uri="{28A0092B-C50C-407E-A947-70E740481C1C}">
                          <a14:useLocalDpi xmlns:a14="http://schemas.microsoft.com/office/drawing/2010/main" val="0"/>
                        </a:ext>
                      </a:extLst>
                    </a:blip>
                    <a:srcRect t="13598" b="18697"/>
                    <a:stretch/>
                  </pic:blipFill>
                  <pic:spPr bwMode="auto">
                    <a:xfrm>
                      <a:off x="0" y="0"/>
                      <a:ext cx="5038725"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67" w:name="_Toc14444593"/>
      <w:bookmarkStart w:id="368" w:name="_Toc15047800"/>
      <w:bookmarkStart w:id="369" w:name="_Toc15047889"/>
      <w:bookmarkEnd w:id="363"/>
      <w:bookmarkEnd w:id="364"/>
      <w:bookmarkEnd w:id="365"/>
      <w:bookmarkEnd w:id="366"/>
    </w:p>
    <w:p w14:paraId="7389ADC0" w14:textId="77777777" w:rsidR="00573038" w:rsidRDefault="00573038" w:rsidP="000C6AB3">
      <w:pPr>
        <w:pStyle w:val="Figuretitle"/>
        <w:rPr>
          <w:sz w:val="18"/>
          <w:szCs w:val="18"/>
        </w:rPr>
      </w:pPr>
    </w:p>
    <w:p w14:paraId="175497AB" w14:textId="77777777" w:rsidR="00573038" w:rsidRDefault="00573038" w:rsidP="000C6AB3">
      <w:pPr>
        <w:pStyle w:val="Figuretitle"/>
        <w:rPr>
          <w:sz w:val="18"/>
          <w:szCs w:val="18"/>
        </w:rPr>
      </w:pPr>
    </w:p>
    <w:p w14:paraId="19807024" w14:textId="77777777" w:rsidR="00573038" w:rsidRDefault="00573038" w:rsidP="000C6AB3">
      <w:pPr>
        <w:pStyle w:val="Figuretitle"/>
        <w:rPr>
          <w:sz w:val="18"/>
          <w:szCs w:val="18"/>
        </w:rPr>
      </w:pPr>
    </w:p>
    <w:p w14:paraId="09B596C9" w14:textId="77777777" w:rsidR="00573038" w:rsidRDefault="00573038" w:rsidP="000C6AB3">
      <w:pPr>
        <w:pStyle w:val="Figuretitle"/>
        <w:rPr>
          <w:sz w:val="18"/>
          <w:szCs w:val="18"/>
        </w:rPr>
      </w:pPr>
    </w:p>
    <w:p w14:paraId="6FD456AA" w14:textId="77777777" w:rsidR="00573038" w:rsidRDefault="00573038" w:rsidP="000C6AB3">
      <w:pPr>
        <w:pStyle w:val="Figuretitle"/>
        <w:rPr>
          <w:sz w:val="18"/>
          <w:szCs w:val="18"/>
        </w:rPr>
      </w:pPr>
    </w:p>
    <w:p w14:paraId="69DB642A" w14:textId="77777777" w:rsidR="00573038" w:rsidRDefault="00573038" w:rsidP="000C6AB3">
      <w:pPr>
        <w:pStyle w:val="Figuretitle"/>
        <w:rPr>
          <w:sz w:val="18"/>
          <w:szCs w:val="18"/>
        </w:rPr>
      </w:pPr>
    </w:p>
    <w:p w14:paraId="7BE8D69F" w14:textId="77777777" w:rsidR="00573038" w:rsidRDefault="00573038" w:rsidP="000C6AB3">
      <w:pPr>
        <w:pStyle w:val="Figuretitle"/>
        <w:rPr>
          <w:sz w:val="18"/>
          <w:szCs w:val="18"/>
        </w:rPr>
      </w:pPr>
    </w:p>
    <w:p w14:paraId="455CC8F6" w14:textId="77777777" w:rsidR="00573038" w:rsidRDefault="00573038" w:rsidP="000C6AB3">
      <w:pPr>
        <w:pStyle w:val="Figuretitle"/>
        <w:rPr>
          <w:sz w:val="18"/>
          <w:szCs w:val="18"/>
        </w:rPr>
      </w:pPr>
    </w:p>
    <w:p w14:paraId="047D8DBA" w14:textId="2E7E7BB6" w:rsidR="000C6AB3" w:rsidRPr="006531FD" w:rsidRDefault="000C6AB3" w:rsidP="000C6AB3">
      <w:pPr>
        <w:pStyle w:val="Figuretitle"/>
        <w:rPr>
          <w:sz w:val="18"/>
          <w:szCs w:val="18"/>
        </w:rPr>
      </w:pPr>
      <w:bookmarkStart w:id="370" w:name="_Toc19001719"/>
      <w:r w:rsidRPr="006531FD">
        <w:rPr>
          <w:sz w:val="18"/>
          <w:szCs w:val="18"/>
        </w:rPr>
        <w:t>Pathway 5</w:t>
      </w:r>
      <w:r w:rsidR="002700FA">
        <w:rPr>
          <w:sz w:val="18"/>
          <w:szCs w:val="18"/>
        </w:rPr>
        <w:t>:</w:t>
      </w:r>
      <w:r w:rsidRPr="006531FD">
        <w:rPr>
          <w:sz w:val="18"/>
          <w:szCs w:val="18"/>
        </w:rPr>
        <w:t xml:space="preserve"> Mostly working part-time (4% of the sample)</w:t>
      </w:r>
      <w:bookmarkEnd w:id="367"/>
      <w:bookmarkEnd w:id="368"/>
      <w:bookmarkEnd w:id="369"/>
      <w:bookmarkEnd w:id="370"/>
    </w:p>
    <w:p w14:paraId="21E5D2AB" w14:textId="63032376" w:rsidR="000F0453" w:rsidRDefault="0066118B" w:rsidP="00A57050">
      <w:pPr>
        <w:pStyle w:val="Figuretitle"/>
      </w:pPr>
      <w:r w:rsidRPr="006531FD">
        <w:rPr>
          <w:noProof/>
        </w:rPr>
        <w:drawing>
          <wp:anchor distT="0" distB="0" distL="114300" distR="114300" simplePos="0" relativeHeight="252062720" behindDoc="0" locked="0" layoutInCell="1" allowOverlap="1" wp14:anchorId="4F7D99B1" wp14:editId="3FE56A17">
            <wp:simplePos x="0" y="0"/>
            <wp:positionH relativeFrom="margin">
              <wp:align>center</wp:align>
            </wp:positionH>
            <wp:positionV relativeFrom="paragraph">
              <wp:posOffset>2619287</wp:posOffset>
            </wp:positionV>
            <wp:extent cx="4741545" cy="234311"/>
            <wp:effectExtent l="0" t="0" r="0" b="0"/>
            <wp:wrapTopAndBottom/>
            <wp:docPr id="57" name="Picture 57" descr="C:\Users\emerickchew\Documents\R\stat1 outputs\individual graphs\index_clus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erickchew\Documents\R\stat1 outputs\individual graphs\index_clust1.jpeg"/>
                    <pic:cNvPicPr>
                      <a:picLocks noChangeAspect="1" noChangeArrowheads="1"/>
                    </pic:cNvPicPr>
                  </pic:nvPicPr>
                  <pic:blipFill rotWithShape="1">
                    <a:blip r:embed="rId60">
                      <a:extLst>
                        <a:ext uri="{28A0092B-C50C-407E-A947-70E740481C1C}">
                          <a14:useLocalDpi xmlns:a14="http://schemas.microsoft.com/office/drawing/2010/main" val="0"/>
                        </a:ext>
                      </a:extLst>
                    </a:blip>
                    <a:srcRect l="7056" t="86190" r="5828" b="6667"/>
                    <a:stretch/>
                  </pic:blipFill>
                  <pic:spPr bwMode="auto">
                    <a:xfrm>
                      <a:off x="0" y="0"/>
                      <a:ext cx="4741545" cy="234311"/>
                    </a:xfrm>
                    <a:prstGeom prst="rect">
                      <a:avLst/>
                    </a:prstGeom>
                    <a:noFill/>
                    <a:ln>
                      <a:noFill/>
                    </a:ln>
                    <a:extLst>
                      <a:ext uri="{53640926-AAD7-44D8-BBD7-CCE9431645EC}">
                        <a14:shadowObscured xmlns:a14="http://schemas.microsoft.com/office/drawing/2010/main"/>
                      </a:ext>
                    </a:extLst>
                  </pic:spPr>
                </pic:pic>
              </a:graphicData>
            </a:graphic>
          </wp:anchor>
        </w:drawing>
      </w:r>
      <w:r w:rsidR="000F0453">
        <w:t>Sequence Index plot</w:t>
      </w:r>
    </w:p>
    <w:p w14:paraId="42A1E0EF" w14:textId="56C63CD2" w:rsidR="000F0453" w:rsidRDefault="0066118B" w:rsidP="007A3945">
      <w:pPr>
        <w:pStyle w:val="Figuretitle"/>
      </w:pPr>
      <w:bookmarkStart w:id="371" w:name="_Toc14444595"/>
      <w:bookmarkStart w:id="372" w:name="_Toc15047802"/>
      <w:bookmarkStart w:id="373" w:name="_Toc15047891"/>
      <w:r w:rsidRPr="006531FD">
        <w:rPr>
          <w:noProof/>
        </w:rPr>
        <w:drawing>
          <wp:anchor distT="0" distB="0" distL="114300" distR="114300" simplePos="0" relativeHeight="252063744" behindDoc="0" locked="0" layoutInCell="1" allowOverlap="1" wp14:anchorId="1EDC3416" wp14:editId="0E181956">
            <wp:simplePos x="0" y="0"/>
            <wp:positionH relativeFrom="margin">
              <wp:align>center</wp:align>
            </wp:positionH>
            <wp:positionV relativeFrom="paragraph">
              <wp:posOffset>5161989</wp:posOffset>
            </wp:positionV>
            <wp:extent cx="4741545" cy="234311"/>
            <wp:effectExtent l="0" t="0" r="0" b="0"/>
            <wp:wrapTopAndBottom/>
            <wp:docPr id="86" name="Picture 86" descr="C:\Users\emerickchew\Documents\R\stat1 outputs\individual graphs\index_clus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erickchew\Documents\R\stat1 outputs\individual graphs\index_clust1.jpeg"/>
                    <pic:cNvPicPr>
                      <a:picLocks noChangeAspect="1" noChangeArrowheads="1"/>
                    </pic:cNvPicPr>
                  </pic:nvPicPr>
                  <pic:blipFill rotWithShape="1">
                    <a:blip r:embed="rId60">
                      <a:extLst>
                        <a:ext uri="{28A0092B-C50C-407E-A947-70E740481C1C}">
                          <a14:useLocalDpi xmlns:a14="http://schemas.microsoft.com/office/drawing/2010/main" val="0"/>
                        </a:ext>
                      </a:extLst>
                    </a:blip>
                    <a:srcRect l="7056" t="86190" r="5828" b="6667"/>
                    <a:stretch/>
                  </pic:blipFill>
                  <pic:spPr bwMode="auto">
                    <a:xfrm>
                      <a:off x="0" y="0"/>
                      <a:ext cx="4741545" cy="234311"/>
                    </a:xfrm>
                    <a:prstGeom prst="rect">
                      <a:avLst/>
                    </a:prstGeom>
                    <a:noFill/>
                    <a:ln>
                      <a:noFill/>
                    </a:ln>
                    <a:extLst>
                      <a:ext uri="{53640926-AAD7-44D8-BBD7-CCE9431645EC}">
                        <a14:shadowObscured xmlns:a14="http://schemas.microsoft.com/office/drawing/2010/main"/>
                      </a:ext>
                    </a:extLst>
                  </pic:spPr>
                </pic:pic>
              </a:graphicData>
            </a:graphic>
          </wp:anchor>
        </w:drawing>
      </w:r>
      <w:bookmarkEnd w:id="371"/>
      <w:bookmarkEnd w:id="372"/>
      <w:bookmarkEnd w:id="373"/>
      <w:r w:rsidR="000F0453">
        <w:rPr>
          <w:noProof/>
        </w:rPr>
        <w:drawing>
          <wp:anchor distT="0" distB="0" distL="114300" distR="114300" simplePos="0" relativeHeight="252044288" behindDoc="0" locked="0" layoutInCell="1" allowOverlap="1" wp14:anchorId="7B6E10C1" wp14:editId="64B064C5">
            <wp:simplePos x="0" y="0"/>
            <wp:positionH relativeFrom="column">
              <wp:posOffset>-4371</wp:posOffset>
            </wp:positionH>
            <wp:positionV relativeFrom="paragraph">
              <wp:posOffset>99016</wp:posOffset>
            </wp:positionV>
            <wp:extent cx="5038725" cy="2466975"/>
            <wp:effectExtent l="0" t="0" r="9525" b="9525"/>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9">
                      <a:extLst>
                        <a:ext uri="{28A0092B-C50C-407E-A947-70E740481C1C}">
                          <a14:useLocalDpi xmlns:a14="http://schemas.microsoft.com/office/drawing/2010/main" val="0"/>
                        </a:ext>
                      </a:extLst>
                    </a:blip>
                    <a:srcRect t="11048" b="15581"/>
                    <a:stretch/>
                  </pic:blipFill>
                  <pic:spPr bwMode="auto">
                    <a:xfrm>
                      <a:off x="0" y="0"/>
                      <a:ext cx="5038725" cy="2466975"/>
                    </a:xfrm>
                    <a:prstGeom prst="rect">
                      <a:avLst/>
                    </a:prstGeom>
                    <a:noFill/>
                    <a:ln>
                      <a:noFill/>
                    </a:ln>
                    <a:extLst>
                      <a:ext uri="{53640926-AAD7-44D8-BBD7-CCE9431645EC}">
                        <a14:shadowObscured xmlns:a14="http://schemas.microsoft.com/office/drawing/2010/main"/>
                      </a:ext>
                    </a:extLst>
                  </pic:spPr>
                </pic:pic>
              </a:graphicData>
            </a:graphic>
          </wp:anchor>
        </w:drawing>
      </w:r>
      <w:r w:rsidR="000F0453">
        <w:t>Modal plot</w:t>
      </w:r>
    </w:p>
    <w:p w14:paraId="4923BF97" w14:textId="530F59B2" w:rsidR="000F0453" w:rsidRDefault="0040108B" w:rsidP="006531FD">
      <w:pPr>
        <w:pStyle w:val="Figuretitle"/>
        <w:rPr>
          <w:noProof/>
        </w:rPr>
      </w:pPr>
      <w:bookmarkStart w:id="374" w:name="_Toc19001720"/>
      <w:r>
        <w:rPr>
          <w:noProof/>
        </w:rPr>
        <w:drawing>
          <wp:anchor distT="0" distB="0" distL="114300" distR="114300" simplePos="0" relativeHeight="252045312" behindDoc="0" locked="0" layoutInCell="1" allowOverlap="1" wp14:anchorId="63FD79B7" wp14:editId="4D12A2DE">
            <wp:simplePos x="0" y="0"/>
            <wp:positionH relativeFrom="column">
              <wp:posOffset>-4371</wp:posOffset>
            </wp:positionH>
            <wp:positionV relativeFrom="paragraph">
              <wp:posOffset>223963</wp:posOffset>
            </wp:positionV>
            <wp:extent cx="4805680" cy="2009775"/>
            <wp:effectExtent l="0" t="0" r="0" b="9525"/>
            <wp:wrapTopAndBottom/>
            <wp:docPr id="9" name="Picture 9" descr="\\ncver.edu.au\data\users\cameronforrest\My Pictures\ranasinghe ch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ver.edu.au\data\users\cameronforrest\My Pictures\ranasinghe chew.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05680" cy="2009775"/>
                    </a:xfrm>
                    <a:prstGeom prst="rect">
                      <a:avLst/>
                    </a:prstGeom>
                    <a:noFill/>
                    <a:ln>
                      <a:noFill/>
                    </a:ln>
                  </pic:spPr>
                </pic:pic>
              </a:graphicData>
            </a:graphic>
          </wp:anchor>
        </w:drawing>
      </w:r>
      <w:bookmarkEnd w:id="374"/>
    </w:p>
    <w:p w14:paraId="4B506FBC" w14:textId="2B1903E2" w:rsidR="000C6AB3" w:rsidRDefault="000C6AB3" w:rsidP="000C6AB3">
      <w:pPr>
        <w:pStyle w:val="Heading2"/>
      </w:pPr>
      <w:bookmarkStart w:id="375" w:name="_Toc15048986"/>
      <w:bookmarkStart w:id="376" w:name="_Toc19804000"/>
      <w:r>
        <w:t>Drivers of pathways and policy implications</w:t>
      </w:r>
      <w:bookmarkEnd w:id="375"/>
      <w:bookmarkEnd w:id="376"/>
    </w:p>
    <w:p w14:paraId="28564565" w14:textId="3FEA9211" w:rsidR="00557D5E" w:rsidRDefault="003B6C52" w:rsidP="003B6C52">
      <w:pPr>
        <w:pStyle w:val="Text"/>
      </w:pPr>
      <w:r>
        <w:t>As evident from the results of the multinomial logistic regression modelling</w:t>
      </w:r>
      <w:r w:rsidR="00946CBB">
        <w:t>, shown</w:t>
      </w:r>
      <w:r>
        <w:t xml:space="preserve"> in </w:t>
      </w:r>
      <w:r w:rsidR="002700FA">
        <w:t>t</w:t>
      </w:r>
      <w:r>
        <w:t xml:space="preserve">able </w:t>
      </w:r>
      <w:r w:rsidR="00AF4AB2">
        <w:t>29</w:t>
      </w:r>
      <w:r>
        <w:t xml:space="preserve">, individual socioeconomic and demographic characteristics play a significant role in influencing the probability of following a given pathway. </w:t>
      </w:r>
      <w:r w:rsidRPr="00F51BB4">
        <w:t xml:space="preserve">Within the framework of logistic regression, it is possible to estimate the percentage change in the probability of entering a specific pathway for a given characteristic. </w:t>
      </w:r>
      <w:r w:rsidR="0066118B">
        <w:t xml:space="preserve">The average marginal effects were obtained and are reported in Table </w:t>
      </w:r>
      <w:r w:rsidR="008B6560">
        <w:t>29</w:t>
      </w:r>
      <w:r w:rsidR="0066118B">
        <w:t>.</w:t>
      </w:r>
      <w:r>
        <w:t xml:space="preserve"> </w:t>
      </w:r>
    </w:p>
    <w:p w14:paraId="24F26EAB" w14:textId="77777777" w:rsidR="00557D5E" w:rsidRDefault="00557D5E">
      <w:pPr>
        <w:spacing w:before="0" w:line="240" w:lineRule="auto"/>
      </w:pPr>
      <w:r>
        <w:br w:type="page"/>
      </w:r>
    </w:p>
    <w:p w14:paraId="77DB5A7F" w14:textId="3AEA01FC" w:rsidR="000C6AB3" w:rsidRDefault="000C6AB3" w:rsidP="00557D5E">
      <w:pPr>
        <w:pStyle w:val="Figuretitle"/>
      </w:pPr>
      <w:bookmarkStart w:id="377" w:name="_Toc19001686"/>
      <w:r w:rsidRPr="00BA4D6C">
        <w:lastRenderedPageBreak/>
        <w:t xml:space="preserve">Table </w:t>
      </w:r>
      <w:r w:rsidR="00AD48D8">
        <w:t>29</w:t>
      </w:r>
      <w:r w:rsidR="00557D5E">
        <w:tab/>
      </w:r>
      <w:r w:rsidR="0066118B">
        <w:t>Average marginal effects on pathway outcomes. Change in the probability of following a certain pathway for a given characteristic compared with the reference category</w:t>
      </w:r>
      <w:bookmarkEnd w:id="377"/>
    </w:p>
    <w:tbl>
      <w:tblPr>
        <w:tblStyle w:val="NCVERTable"/>
        <w:tblW w:w="9027" w:type="dxa"/>
        <w:tblLook w:val="04A0" w:firstRow="1" w:lastRow="0" w:firstColumn="1" w:lastColumn="0" w:noHBand="0" w:noVBand="1"/>
      </w:tblPr>
      <w:tblGrid>
        <w:gridCol w:w="2730"/>
        <w:gridCol w:w="1259"/>
        <w:gridCol w:w="1259"/>
        <w:gridCol w:w="1260"/>
        <w:gridCol w:w="1259"/>
        <w:gridCol w:w="1260"/>
      </w:tblGrid>
      <w:tr w:rsidR="003B6C52" w:rsidRPr="00CF6A7D" w14:paraId="3E45AA80" w14:textId="77777777" w:rsidTr="003B6C52">
        <w:trPr>
          <w:cnfStyle w:val="100000000000" w:firstRow="1" w:lastRow="0"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2730" w:type="dxa"/>
            <w:tcBorders>
              <w:bottom w:val="nil"/>
            </w:tcBorders>
            <w:noWrap/>
            <w:hideMark/>
          </w:tcPr>
          <w:p w14:paraId="37EB2448" w14:textId="77777777" w:rsidR="003B6C52" w:rsidRPr="00CF6A7D" w:rsidRDefault="003B6C52" w:rsidP="003B6C52">
            <w:pPr>
              <w:pStyle w:val="Tabletext"/>
            </w:pPr>
          </w:p>
        </w:tc>
        <w:tc>
          <w:tcPr>
            <w:tcW w:w="1259" w:type="dxa"/>
            <w:tcBorders>
              <w:bottom w:val="nil"/>
            </w:tcBorders>
            <w:noWrap/>
            <w:hideMark/>
          </w:tcPr>
          <w:p w14:paraId="52DBBEAA" w14:textId="77777777" w:rsidR="003B6C52" w:rsidRPr="00CF6A7D" w:rsidRDefault="003B6C52" w:rsidP="003B6C52">
            <w:pPr>
              <w:pStyle w:val="Tabletext"/>
              <w:cnfStyle w:val="100000000000" w:firstRow="1" w:lastRow="0" w:firstColumn="0" w:lastColumn="0" w:oddVBand="0" w:evenVBand="0" w:oddHBand="0" w:evenHBand="0" w:firstRowFirstColumn="0" w:firstRowLastColumn="0" w:lastRowFirstColumn="0" w:lastRowLastColumn="0"/>
            </w:pPr>
            <w:r w:rsidRPr="00CF6A7D">
              <w:t>Pathway 1</w:t>
            </w:r>
          </w:p>
          <w:p w14:paraId="532E57CC" w14:textId="77777777" w:rsidR="003B6C52" w:rsidRPr="00CF6A7D" w:rsidRDefault="003B6C52" w:rsidP="003B6C52">
            <w:pPr>
              <w:pStyle w:val="Tabletext"/>
              <w:cnfStyle w:val="100000000000" w:firstRow="1" w:lastRow="0" w:firstColumn="0" w:lastColumn="0" w:oddVBand="0" w:evenVBand="0" w:oddHBand="0" w:evenHBand="0" w:firstRowFirstColumn="0" w:firstRowLastColumn="0" w:lastRowFirstColumn="0" w:lastRowLastColumn="0"/>
            </w:pPr>
          </w:p>
        </w:tc>
        <w:tc>
          <w:tcPr>
            <w:tcW w:w="1259" w:type="dxa"/>
            <w:tcBorders>
              <w:bottom w:val="nil"/>
            </w:tcBorders>
            <w:noWrap/>
            <w:hideMark/>
          </w:tcPr>
          <w:p w14:paraId="33EB175C" w14:textId="77777777" w:rsidR="003B6C52" w:rsidRPr="00CF6A7D" w:rsidRDefault="003B6C52" w:rsidP="003B6C52">
            <w:pPr>
              <w:pStyle w:val="Tabletext"/>
              <w:cnfStyle w:val="100000000000" w:firstRow="1" w:lastRow="0" w:firstColumn="0" w:lastColumn="0" w:oddVBand="0" w:evenVBand="0" w:oddHBand="0" w:evenHBand="0" w:firstRowFirstColumn="0" w:firstRowLastColumn="0" w:lastRowFirstColumn="0" w:lastRowLastColumn="0"/>
            </w:pPr>
            <w:r w:rsidRPr="00CF6A7D">
              <w:t>Pathway 2</w:t>
            </w:r>
          </w:p>
          <w:p w14:paraId="5CEBEDA0" w14:textId="77777777" w:rsidR="003B6C52" w:rsidRPr="00CF6A7D" w:rsidRDefault="003B6C52" w:rsidP="003B6C52">
            <w:pPr>
              <w:pStyle w:val="Tabletext"/>
              <w:cnfStyle w:val="100000000000" w:firstRow="1" w:lastRow="0" w:firstColumn="0" w:lastColumn="0" w:oddVBand="0" w:evenVBand="0" w:oddHBand="0" w:evenHBand="0" w:firstRowFirstColumn="0" w:firstRowLastColumn="0" w:lastRowFirstColumn="0" w:lastRowLastColumn="0"/>
            </w:pPr>
          </w:p>
        </w:tc>
        <w:tc>
          <w:tcPr>
            <w:tcW w:w="1260" w:type="dxa"/>
            <w:tcBorders>
              <w:bottom w:val="nil"/>
            </w:tcBorders>
            <w:noWrap/>
            <w:hideMark/>
          </w:tcPr>
          <w:p w14:paraId="6207FEB8" w14:textId="77777777" w:rsidR="003B6C52" w:rsidRPr="00CF6A7D" w:rsidRDefault="003B6C52" w:rsidP="003B6C52">
            <w:pPr>
              <w:pStyle w:val="Tabletext"/>
              <w:cnfStyle w:val="100000000000" w:firstRow="1" w:lastRow="0" w:firstColumn="0" w:lastColumn="0" w:oddVBand="0" w:evenVBand="0" w:oddHBand="0" w:evenHBand="0" w:firstRowFirstColumn="0" w:firstRowLastColumn="0" w:lastRowFirstColumn="0" w:lastRowLastColumn="0"/>
            </w:pPr>
            <w:r w:rsidRPr="00CF6A7D">
              <w:t>Pathway 3</w:t>
            </w:r>
          </w:p>
          <w:p w14:paraId="67C3D2C0" w14:textId="77777777" w:rsidR="003B6C52" w:rsidRPr="00CF6A7D" w:rsidRDefault="003B6C52" w:rsidP="003B6C52">
            <w:pPr>
              <w:pStyle w:val="Tabletext"/>
              <w:cnfStyle w:val="100000000000" w:firstRow="1" w:lastRow="0" w:firstColumn="0" w:lastColumn="0" w:oddVBand="0" w:evenVBand="0" w:oddHBand="0" w:evenHBand="0" w:firstRowFirstColumn="0" w:firstRowLastColumn="0" w:lastRowFirstColumn="0" w:lastRowLastColumn="0"/>
            </w:pPr>
          </w:p>
        </w:tc>
        <w:tc>
          <w:tcPr>
            <w:tcW w:w="1259" w:type="dxa"/>
            <w:tcBorders>
              <w:bottom w:val="nil"/>
            </w:tcBorders>
            <w:noWrap/>
            <w:hideMark/>
          </w:tcPr>
          <w:p w14:paraId="5E78FDE5" w14:textId="77777777" w:rsidR="003B6C52" w:rsidRPr="00CF6A7D" w:rsidRDefault="003B6C52" w:rsidP="003B6C52">
            <w:pPr>
              <w:pStyle w:val="Tabletext"/>
              <w:cnfStyle w:val="100000000000" w:firstRow="1" w:lastRow="0" w:firstColumn="0" w:lastColumn="0" w:oddVBand="0" w:evenVBand="0" w:oddHBand="0" w:evenHBand="0" w:firstRowFirstColumn="0" w:firstRowLastColumn="0" w:lastRowFirstColumn="0" w:lastRowLastColumn="0"/>
            </w:pPr>
            <w:r w:rsidRPr="00CF6A7D">
              <w:t>Pathway 4</w:t>
            </w:r>
          </w:p>
        </w:tc>
        <w:tc>
          <w:tcPr>
            <w:tcW w:w="1260" w:type="dxa"/>
            <w:tcBorders>
              <w:bottom w:val="nil"/>
            </w:tcBorders>
            <w:noWrap/>
            <w:hideMark/>
          </w:tcPr>
          <w:p w14:paraId="62B1147A" w14:textId="77777777" w:rsidR="003B6C52" w:rsidRPr="00CF6A7D" w:rsidRDefault="003B6C52" w:rsidP="003B6C52">
            <w:pPr>
              <w:pStyle w:val="Tabletext"/>
              <w:cnfStyle w:val="100000000000" w:firstRow="1" w:lastRow="0" w:firstColumn="0" w:lastColumn="0" w:oddVBand="0" w:evenVBand="0" w:oddHBand="0" w:evenHBand="0" w:firstRowFirstColumn="0" w:firstRowLastColumn="0" w:lastRowFirstColumn="0" w:lastRowLastColumn="0"/>
            </w:pPr>
            <w:r w:rsidRPr="00CF6A7D">
              <w:t>Pathway 5</w:t>
            </w:r>
          </w:p>
          <w:p w14:paraId="3E6B87CD" w14:textId="77777777" w:rsidR="003B6C52" w:rsidRPr="00CF6A7D" w:rsidRDefault="003B6C52" w:rsidP="003B6C52">
            <w:pPr>
              <w:pStyle w:val="Tabletext"/>
              <w:cnfStyle w:val="100000000000" w:firstRow="1" w:lastRow="0" w:firstColumn="0" w:lastColumn="0" w:oddVBand="0" w:evenVBand="0" w:oddHBand="0" w:evenHBand="0" w:firstRowFirstColumn="0" w:firstRowLastColumn="0" w:lastRowFirstColumn="0" w:lastRowLastColumn="0"/>
            </w:pPr>
          </w:p>
        </w:tc>
      </w:tr>
      <w:tr w:rsidR="003B6C52" w:rsidRPr="00CF6A7D" w14:paraId="03F8A770" w14:textId="77777777" w:rsidTr="003B6C5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730" w:type="dxa"/>
            <w:tcBorders>
              <w:top w:val="nil"/>
              <w:bottom w:val="single" w:sz="4" w:space="0" w:color="auto"/>
            </w:tcBorders>
            <w:noWrap/>
          </w:tcPr>
          <w:p w14:paraId="11AAC0FA" w14:textId="77777777" w:rsidR="003B6C52" w:rsidRPr="00CF6A7D" w:rsidRDefault="003B6C52" w:rsidP="003B6C52">
            <w:pPr>
              <w:pStyle w:val="Tabletext"/>
            </w:pPr>
          </w:p>
        </w:tc>
        <w:tc>
          <w:tcPr>
            <w:tcW w:w="1259" w:type="dxa"/>
            <w:tcBorders>
              <w:top w:val="nil"/>
              <w:bottom w:val="single" w:sz="4" w:space="0" w:color="auto"/>
            </w:tcBorders>
            <w:noWrap/>
          </w:tcPr>
          <w:p w14:paraId="5EB9ED71" w14:textId="77777777" w:rsidR="003B6C52" w:rsidRPr="00CF6A7D" w:rsidRDefault="003B6C52" w:rsidP="003B6C52">
            <w:pPr>
              <w:pStyle w:val="Tabletext"/>
              <w:cnfStyle w:val="000000100000" w:firstRow="0" w:lastRow="0" w:firstColumn="0" w:lastColumn="0" w:oddVBand="0" w:evenVBand="0" w:oddHBand="1" w:evenHBand="0" w:firstRowFirstColumn="0" w:firstRowLastColumn="0" w:lastRowFirstColumn="0" w:lastRowLastColumn="0"/>
            </w:pPr>
            <w:r w:rsidRPr="00CF6A7D">
              <w:t>Higher educ</w:t>
            </w:r>
            <w:r>
              <w:t>ation</w:t>
            </w:r>
            <w:r w:rsidRPr="00CF6A7D">
              <w:t xml:space="preserve"> and work</w:t>
            </w:r>
          </w:p>
        </w:tc>
        <w:tc>
          <w:tcPr>
            <w:tcW w:w="1259" w:type="dxa"/>
            <w:tcBorders>
              <w:top w:val="nil"/>
              <w:bottom w:val="single" w:sz="4" w:space="0" w:color="auto"/>
            </w:tcBorders>
            <w:noWrap/>
          </w:tcPr>
          <w:p w14:paraId="1DD6F1DA" w14:textId="77777777" w:rsidR="003B6C52" w:rsidRPr="00CF6A7D" w:rsidRDefault="003B6C52" w:rsidP="003B6C52">
            <w:pPr>
              <w:pStyle w:val="Tabletext"/>
              <w:cnfStyle w:val="000000100000" w:firstRow="0" w:lastRow="0" w:firstColumn="0" w:lastColumn="0" w:oddVBand="0" w:evenVBand="0" w:oddHBand="1" w:evenHBand="0" w:firstRowFirstColumn="0" w:firstRowLastColumn="0" w:lastRowFirstColumn="0" w:lastRowLastColumn="0"/>
            </w:pPr>
            <w:r w:rsidRPr="00CF6A7D">
              <w:t>Early entry to F</w:t>
            </w:r>
            <w:r>
              <w:t>ull-time</w:t>
            </w:r>
            <w:r w:rsidRPr="00CF6A7D">
              <w:t xml:space="preserve"> work</w:t>
            </w:r>
          </w:p>
        </w:tc>
        <w:tc>
          <w:tcPr>
            <w:tcW w:w="1260" w:type="dxa"/>
            <w:tcBorders>
              <w:top w:val="nil"/>
              <w:bottom w:val="single" w:sz="4" w:space="0" w:color="auto"/>
            </w:tcBorders>
            <w:noWrap/>
          </w:tcPr>
          <w:p w14:paraId="5A08FDF4" w14:textId="77777777" w:rsidR="003B6C52" w:rsidRPr="00CF6A7D" w:rsidRDefault="003B6C52" w:rsidP="003B6C52">
            <w:pPr>
              <w:pStyle w:val="Tabletext"/>
              <w:cnfStyle w:val="000000100000" w:firstRow="0" w:lastRow="0" w:firstColumn="0" w:lastColumn="0" w:oddVBand="0" w:evenVBand="0" w:oddHBand="1" w:evenHBand="0" w:firstRowFirstColumn="0" w:firstRowLastColumn="0" w:lastRowFirstColumn="0" w:lastRowLastColumn="0"/>
            </w:pPr>
            <w:r w:rsidRPr="00CF6A7D">
              <w:t>Higher educ</w:t>
            </w:r>
            <w:r>
              <w:t>ation</w:t>
            </w:r>
            <w:r w:rsidRPr="00CF6A7D">
              <w:t xml:space="preserve"> and VET</w:t>
            </w:r>
          </w:p>
        </w:tc>
        <w:tc>
          <w:tcPr>
            <w:tcW w:w="1259" w:type="dxa"/>
            <w:tcBorders>
              <w:top w:val="nil"/>
              <w:bottom w:val="single" w:sz="4" w:space="0" w:color="auto"/>
            </w:tcBorders>
            <w:noWrap/>
          </w:tcPr>
          <w:p w14:paraId="2603579A" w14:textId="77777777" w:rsidR="003B6C52" w:rsidRPr="00CF6A7D" w:rsidRDefault="003B6C52" w:rsidP="003B6C52">
            <w:pPr>
              <w:pStyle w:val="Tabletext"/>
              <w:cnfStyle w:val="000000100000" w:firstRow="0" w:lastRow="0" w:firstColumn="0" w:lastColumn="0" w:oddVBand="0" w:evenVBand="0" w:oddHBand="1" w:evenHBand="0" w:firstRowFirstColumn="0" w:firstRowLastColumn="0" w:lastRowFirstColumn="0" w:lastRowLastColumn="0"/>
            </w:pPr>
            <w:r>
              <w:t xml:space="preserve">Mixed </w:t>
            </w:r>
            <w:r w:rsidRPr="00CF6A7D">
              <w:t xml:space="preserve">and </w:t>
            </w:r>
            <w:r>
              <w:t>repeatedly disengaged</w:t>
            </w:r>
          </w:p>
        </w:tc>
        <w:tc>
          <w:tcPr>
            <w:tcW w:w="1260" w:type="dxa"/>
            <w:tcBorders>
              <w:top w:val="nil"/>
              <w:bottom w:val="single" w:sz="4" w:space="0" w:color="auto"/>
            </w:tcBorders>
            <w:noWrap/>
          </w:tcPr>
          <w:p w14:paraId="6944803E" w14:textId="1C72B2D5" w:rsidR="003B6C52" w:rsidRPr="00CF6A7D" w:rsidRDefault="003B6C52" w:rsidP="003B6C52">
            <w:pPr>
              <w:pStyle w:val="Tabletext"/>
              <w:cnfStyle w:val="000000100000" w:firstRow="0" w:lastRow="0" w:firstColumn="0" w:lastColumn="0" w:oddVBand="0" w:evenVBand="0" w:oddHBand="1" w:evenHBand="0" w:firstRowFirstColumn="0" w:firstRowLastColumn="0" w:lastRowFirstColumn="0" w:lastRowLastColumn="0"/>
            </w:pPr>
            <w:r w:rsidRPr="00CF6A7D">
              <w:t xml:space="preserve">Mostly working </w:t>
            </w:r>
            <w:r w:rsidR="00DA574B">
              <w:t>p</w:t>
            </w:r>
            <w:r>
              <w:t>art-time</w:t>
            </w:r>
          </w:p>
        </w:tc>
      </w:tr>
      <w:tr w:rsidR="003B6C52" w:rsidRPr="00CF6A7D" w14:paraId="6C69B184" w14:textId="77777777" w:rsidTr="003B6C52">
        <w:trPr>
          <w:trHeight w:val="82"/>
        </w:trPr>
        <w:tc>
          <w:tcPr>
            <w:cnfStyle w:val="001000000000" w:firstRow="0" w:lastRow="0" w:firstColumn="1" w:lastColumn="0" w:oddVBand="0" w:evenVBand="0" w:oddHBand="0" w:evenHBand="0" w:firstRowFirstColumn="0" w:firstRowLastColumn="0" w:lastRowFirstColumn="0" w:lastRowLastColumn="0"/>
            <w:tcW w:w="2730" w:type="dxa"/>
            <w:tcBorders>
              <w:top w:val="single" w:sz="4" w:space="0" w:color="auto"/>
            </w:tcBorders>
            <w:noWrap/>
            <w:hideMark/>
          </w:tcPr>
          <w:p w14:paraId="753C3027" w14:textId="77777777" w:rsidR="003B6C52" w:rsidRPr="00CF6A7D" w:rsidRDefault="003B6C52" w:rsidP="003B6C52">
            <w:pPr>
              <w:pStyle w:val="Tabletext"/>
              <w:rPr>
                <w:szCs w:val="16"/>
              </w:rPr>
            </w:pPr>
            <w:r w:rsidRPr="00CF6A7D">
              <w:rPr>
                <w:szCs w:val="16"/>
              </w:rPr>
              <w:t>Male</w:t>
            </w:r>
          </w:p>
          <w:p w14:paraId="2110386A" w14:textId="77777777" w:rsidR="003B6C52" w:rsidRPr="00CF6A7D" w:rsidRDefault="003B6C52" w:rsidP="003B6C52">
            <w:pPr>
              <w:pStyle w:val="Tabletext"/>
              <w:rPr>
                <w:b w:val="0"/>
                <w:szCs w:val="16"/>
              </w:rPr>
            </w:pPr>
            <w:r w:rsidRPr="00CF6A7D">
              <w:rPr>
                <w:b w:val="0"/>
                <w:szCs w:val="16"/>
              </w:rPr>
              <w:t>(ref: female)</w:t>
            </w:r>
          </w:p>
        </w:tc>
        <w:tc>
          <w:tcPr>
            <w:tcW w:w="1259" w:type="dxa"/>
            <w:tcBorders>
              <w:top w:val="single" w:sz="4" w:space="0" w:color="auto"/>
            </w:tcBorders>
            <w:noWrap/>
            <w:hideMark/>
          </w:tcPr>
          <w:p w14:paraId="0650F1E2"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-0.09**</w:t>
            </w:r>
          </w:p>
        </w:tc>
        <w:tc>
          <w:tcPr>
            <w:tcW w:w="1259" w:type="dxa"/>
            <w:tcBorders>
              <w:top w:val="single" w:sz="4" w:space="0" w:color="auto"/>
            </w:tcBorders>
            <w:noWrap/>
            <w:hideMark/>
          </w:tcPr>
          <w:p w14:paraId="6A5C277E"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0.14**</w:t>
            </w:r>
          </w:p>
          <w:p w14:paraId="6C63F60C"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60" w:type="dxa"/>
            <w:tcBorders>
              <w:top w:val="single" w:sz="4" w:space="0" w:color="auto"/>
            </w:tcBorders>
            <w:noWrap/>
            <w:hideMark/>
          </w:tcPr>
          <w:p w14:paraId="51E30C11"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-0.03**</w:t>
            </w:r>
          </w:p>
          <w:p w14:paraId="0E52BCA0"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59" w:type="dxa"/>
            <w:tcBorders>
              <w:top w:val="single" w:sz="4" w:space="0" w:color="auto"/>
            </w:tcBorders>
            <w:noWrap/>
            <w:hideMark/>
          </w:tcPr>
          <w:p w14:paraId="171AEE70"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-0.02**</w:t>
            </w:r>
          </w:p>
          <w:p w14:paraId="7F3A0DE2"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60" w:type="dxa"/>
            <w:tcBorders>
              <w:top w:val="single" w:sz="4" w:space="0" w:color="auto"/>
            </w:tcBorders>
            <w:noWrap/>
            <w:hideMark/>
          </w:tcPr>
          <w:p w14:paraId="71339714"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-0.01</w:t>
            </w:r>
          </w:p>
          <w:p w14:paraId="6337BD65"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r>
      <w:tr w:rsidR="003B6C52" w:rsidRPr="00CF6A7D" w14:paraId="362FA79E" w14:textId="77777777" w:rsidTr="003B6C52">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730" w:type="dxa"/>
            <w:noWrap/>
            <w:hideMark/>
          </w:tcPr>
          <w:p w14:paraId="2DCC0F63" w14:textId="77777777" w:rsidR="003B6C52" w:rsidRPr="00CF6A7D" w:rsidRDefault="003B6C52" w:rsidP="003B6C52">
            <w:pPr>
              <w:pStyle w:val="Tabletext"/>
              <w:rPr>
                <w:szCs w:val="16"/>
              </w:rPr>
            </w:pPr>
            <w:r w:rsidRPr="00CF6A7D">
              <w:rPr>
                <w:szCs w:val="16"/>
              </w:rPr>
              <w:t>Indigenous</w:t>
            </w:r>
          </w:p>
          <w:p w14:paraId="08771B51" w14:textId="034B4859" w:rsidR="003B6C52" w:rsidRPr="00CF6A7D" w:rsidRDefault="003B6C52" w:rsidP="003B6C52">
            <w:pPr>
              <w:pStyle w:val="Tabletext"/>
              <w:rPr>
                <w:b w:val="0"/>
                <w:szCs w:val="16"/>
              </w:rPr>
            </w:pPr>
            <w:r w:rsidRPr="00CF6A7D">
              <w:rPr>
                <w:b w:val="0"/>
                <w:szCs w:val="16"/>
              </w:rPr>
              <w:t>(ref: non-</w:t>
            </w:r>
            <w:r w:rsidR="00DA574B">
              <w:rPr>
                <w:b w:val="0"/>
                <w:szCs w:val="16"/>
              </w:rPr>
              <w:t>I</w:t>
            </w:r>
            <w:r w:rsidRPr="00CF6A7D">
              <w:rPr>
                <w:b w:val="0"/>
                <w:szCs w:val="16"/>
              </w:rPr>
              <w:t>ndigenous)</w:t>
            </w:r>
          </w:p>
        </w:tc>
        <w:tc>
          <w:tcPr>
            <w:tcW w:w="1259" w:type="dxa"/>
            <w:noWrap/>
            <w:hideMark/>
          </w:tcPr>
          <w:p w14:paraId="5C5F9770"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-0.13**</w:t>
            </w:r>
          </w:p>
          <w:p w14:paraId="5A41998C"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59" w:type="dxa"/>
            <w:noWrap/>
            <w:hideMark/>
          </w:tcPr>
          <w:p w14:paraId="21AC8559"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0.02</w:t>
            </w:r>
          </w:p>
          <w:p w14:paraId="728479FA"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60" w:type="dxa"/>
            <w:noWrap/>
            <w:hideMark/>
          </w:tcPr>
          <w:p w14:paraId="5F485312"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0.03</w:t>
            </w:r>
          </w:p>
          <w:p w14:paraId="74A7BF10"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59" w:type="dxa"/>
            <w:noWrap/>
            <w:hideMark/>
          </w:tcPr>
          <w:p w14:paraId="6259CDBC"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0.03</w:t>
            </w:r>
          </w:p>
          <w:p w14:paraId="2A368821"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60" w:type="dxa"/>
            <w:noWrap/>
            <w:hideMark/>
          </w:tcPr>
          <w:p w14:paraId="091123DF"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0.05*</w:t>
            </w:r>
          </w:p>
          <w:p w14:paraId="7199D93B"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r>
      <w:tr w:rsidR="003B6C52" w:rsidRPr="00CF6A7D" w14:paraId="245159BB" w14:textId="77777777" w:rsidTr="003B6C52">
        <w:trPr>
          <w:trHeight w:val="37"/>
        </w:trPr>
        <w:tc>
          <w:tcPr>
            <w:cnfStyle w:val="001000000000" w:firstRow="0" w:lastRow="0" w:firstColumn="1" w:lastColumn="0" w:oddVBand="0" w:evenVBand="0" w:oddHBand="0" w:evenHBand="0" w:firstRowFirstColumn="0" w:firstRowLastColumn="0" w:lastRowFirstColumn="0" w:lastRowLastColumn="0"/>
            <w:tcW w:w="2730" w:type="dxa"/>
            <w:noWrap/>
            <w:hideMark/>
          </w:tcPr>
          <w:p w14:paraId="5D3E238D" w14:textId="77777777" w:rsidR="003B6C52" w:rsidRPr="00CF6A7D" w:rsidRDefault="003B6C52" w:rsidP="003B6C52">
            <w:pPr>
              <w:pStyle w:val="Tabletext"/>
              <w:rPr>
                <w:szCs w:val="16"/>
              </w:rPr>
            </w:pPr>
            <w:r>
              <w:rPr>
                <w:szCs w:val="16"/>
              </w:rPr>
              <w:t>Overseas</w:t>
            </w:r>
            <w:r w:rsidRPr="00CF6A7D">
              <w:rPr>
                <w:szCs w:val="16"/>
              </w:rPr>
              <w:t xml:space="preserve"> background</w:t>
            </w:r>
          </w:p>
          <w:p w14:paraId="33E6B92E" w14:textId="77777777" w:rsidR="003B6C52" w:rsidRPr="00CF6A7D" w:rsidRDefault="003B6C52" w:rsidP="003B6C52">
            <w:pPr>
              <w:pStyle w:val="Tabletext"/>
              <w:rPr>
                <w:b w:val="0"/>
                <w:szCs w:val="16"/>
              </w:rPr>
            </w:pPr>
            <w:r w:rsidRPr="00CF6A7D">
              <w:rPr>
                <w:b w:val="0"/>
                <w:szCs w:val="16"/>
              </w:rPr>
              <w:t>(ref: non-</w:t>
            </w:r>
            <w:r>
              <w:rPr>
                <w:b w:val="0"/>
                <w:szCs w:val="16"/>
              </w:rPr>
              <w:t>overseas</w:t>
            </w:r>
            <w:r w:rsidRPr="00CF6A7D">
              <w:rPr>
                <w:b w:val="0"/>
                <w:szCs w:val="16"/>
              </w:rPr>
              <w:t xml:space="preserve"> background)</w:t>
            </w:r>
          </w:p>
        </w:tc>
        <w:tc>
          <w:tcPr>
            <w:tcW w:w="1259" w:type="dxa"/>
            <w:noWrap/>
            <w:hideMark/>
          </w:tcPr>
          <w:p w14:paraId="355AF533"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0.11**</w:t>
            </w:r>
          </w:p>
          <w:p w14:paraId="7D7D770C"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59" w:type="dxa"/>
            <w:noWrap/>
            <w:hideMark/>
          </w:tcPr>
          <w:p w14:paraId="514CF92D"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-0.07**</w:t>
            </w:r>
          </w:p>
          <w:p w14:paraId="110009E5"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60" w:type="dxa"/>
            <w:noWrap/>
            <w:hideMark/>
          </w:tcPr>
          <w:p w14:paraId="498841CD"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-0.01</w:t>
            </w:r>
          </w:p>
          <w:p w14:paraId="0B512460"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59" w:type="dxa"/>
            <w:noWrap/>
            <w:hideMark/>
          </w:tcPr>
          <w:p w14:paraId="42ED349E"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-0.01</w:t>
            </w:r>
          </w:p>
          <w:p w14:paraId="21085EA7"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60" w:type="dxa"/>
            <w:noWrap/>
            <w:hideMark/>
          </w:tcPr>
          <w:p w14:paraId="5923EA8F"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-0.01*</w:t>
            </w:r>
          </w:p>
          <w:p w14:paraId="51EA4B23"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r>
      <w:tr w:rsidR="003B6C52" w:rsidRPr="00CF6A7D" w14:paraId="529A641B" w14:textId="77777777" w:rsidTr="003B6C52">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730" w:type="dxa"/>
            <w:noWrap/>
            <w:hideMark/>
          </w:tcPr>
          <w:p w14:paraId="5FEC1081" w14:textId="07A7CA17" w:rsidR="003B6C52" w:rsidRPr="00CF6A7D" w:rsidRDefault="003B6C52" w:rsidP="003B6C52">
            <w:pPr>
              <w:pStyle w:val="Tabletext"/>
              <w:rPr>
                <w:szCs w:val="16"/>
              </w:rPr>
            </w:pPr>
            <w:r w:rsidRPr="00CF6A7D">
              <w:rPr>
                <w:szCs w:val="16"/>
              </w:rPr>
              <w:t>Socioeconomic status (SES)</w:t>
            </w:r>
          </w:p>
          <w:p w14:paraId="7E422031" w14:textId="77777777" w:rsidR="003B6C52" w:rsidRPr="00CF6A7D" w:rsidRDefault="003B6C52" w:rsidP="003B6C52">
            <w:pPr>
              <w:pStyle w:val="Tabletext"/>
              <w:rPr>
                <w:szCs w:val="16"/>
              </w:rPr>
            </w:pPr>
            <w:r w:rsidRPr="00CF6A7D">
              <w:rPr>
                <w:b w:val="0"/>
                <w:szCs w:val="16"/>
              </w:rPr>
              <w:t>(ref: top quartile)</w:t>
            </w:r>
          </w:p>
        </w:tc>
        <w:tc>
          <w:tcPr>
            <w:tcW w:w="1259" w:type="dxa"/>
            <w:noWrap/>
            <w:hideMark/>
          </w:tcPr>
          <w:p w14:paraId="49D9F741"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59" w:type="dxa"/>
            <w:noWrap/>
            <w:hideMark/>
          </w:tcPr>
          <w:p w14:paraId="49EF5167"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60" w:type="dxa"/>
            <w:noWrap/>
            <w:hideMark/>
          </w:tcPr>
          <w:p w14:paraId="7D12BF9F"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59" w:type="dxa"/>
            <w:noWrap/>
            <w:hideMark/>
          </w:tcPr>
          <w:p w14:paraId="534E237B"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60" w:type="dxa"/>
            <w:noWrap/>
            <w:hideMark/>
          </w:tcPr>
          <w:p w14:paraId="77B41519"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r>
      <w:tr w:rsidR="003B6C52" w:rsidRPr="00CF6A7D" w14:paraId="0D53D699" w14:textId="77777777" w:rsidTr="003B6C52">
        <w:trPr>
          <w:trHeight w:val="466"/>
        </w:trPr>
        <w:tc>
          <w:tcPr>
            <w:cnfStyle w:val="001000000000" w:firstRow="0" w:lastRow="0" w:firstColumn="1" w:lastColumn="0" w:oddVBand="0" w:evenVBand="0" w:oddHBand="0" w:evenHBand="0" w:firstRowFirstColumn="0" w:firstRowLastColumn="0" w:lastRowFirstColumn="0" w:lastRowLastColumn="0"/>
            <w:tcW w:w="2730" w:type="dxa"/>
            <w:noWrap/>
            <w:hideMark/>
          </w:tcPr>
          <w:p w14:paraId="07FF3BC0" w14:textId="77777777" w:rsidR="003B6C52" w:rsidRPr="00CF6A7D" w:rsidRDefault="003B6C52" w:rsidP="003B6C52">
            <w:pPr>
              <w:pStyle w:val="Tabletext"/>
              <w:rPr>
                <w:b w:val="0"/>
                <w:szCs w:val="16"/>
              </w:rPr>
            </w:pPr>
            <w:r w:rsidRPr="00CF6A7D">
              <w:rPr>
                <w:b w:val="0"/>
                <w:szCs w:val="16"/>
              </w:rPr>
              <w:t>Second quartile</w:t>
            </w:r>
          </w:p>
        </w:tc>
        <w:tc>
          <w:tcPr>
            <w:tcW w:w="1259" w:type="dxa"/>
            <w:noWrap/>
            <w:hideMark/>
          </w:tcPr>
          <w:p w14:paraId="65A3E35A"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-0.05*</w:t>
            </w:r>
          </w:p>
          <w:p w14:paraId="5B55F326"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59" w:type="dxa"/>
            <w:noWrap/>
            <w:hideMark/>
          </w:tcPr>
          <w:p w14:paraId="0B5DD186"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0.04*</w:t>
            </w:r>
          </w:p>
          <w:p w14:paraId="293BB78E"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60" w:type="dxa"/>
            <w:noWrap/>
            <w:hideMark/>
          </w:tcPr>
          <w:p w14:paraId="72FD8D10"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0.02</w:t>
            </w:r>
          </w:p>
          <w:p w14:paraId="04198DC9"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59" w:type="dxa"/>
            <w:noWrap/>
            <w:hideMark/>
          </w:tcPr>
          <w:p w14:paraId="63610BF1"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-0.02</w:t>
            </w:r>
          </w:p>
          <w:p w14:paraId="1D141809"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60" w:type="dxa"/>
            <w:noWrap/>
            <w:hideMark/>
          </w:tcPr>
          <w:p w14:paraId="26EAD1EF"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0.00</w:t>
            </w:r>
          </w:p>
          <w:p w14:paraId="19848E4D"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r>
      <w:tr w:rsidR="003B6C52" w:rsidRPr="00CF6A7D" w14:paraId="6CB9A618" w14:textId="77777777" w:rsidTr="003B6C52">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730" w:type="dxa"/>
            <w:noWrap/>
            <w:hideMark/>
          </w:tcPr>
          <w:p w14:paraId="645C6F04" w14:textId="77777777" w:rsidR="003B6C52" w:rsidRPr="00CF6A7D" w:rsidRDefault="003B6C52" w:rsidP="003B6C52">
            <w:pPr>
              <w:pStyle w:val="Tabletext"/>
              <w:rPr>
                <w:b w:val="0"/>
                <w:szCs w:val="16"/>
              </w:rPr>
            </w:pPr>
            <w:r w:rsidRPr="00CF6A7D">
              <w:rPr>
                <w:b w:val="0"/>
                <w:szCs w:val="16"/>
              </w:rPr>
              <w:t>Third quartile</w:t>
            </w:r>
          </w:p>
        </w:tc>
        <w:tc>
          <w:tcPr>
            <w:tcW w:w="1259" w:type="dxa"/>
            <w:noWrap/>
            <w:hideMark/>
          </w:tcPr>
          <w:p w14:paraId="491BD893"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-0.18**</w:t>
            </w:r>
          </w:p>
          <w:p w14:paraId="4C505D5D"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59" w:type="dxa"/>
            <w:noWrap/>
            <w:hideMark/>
          </w:tcPr>
          <w:p w14:paraId="421A8A15"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0.12**</w:t>
            </w:r>
          </w:p>
          <w:p w14:paraId="0F30248B"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60" w:type="dxa"/>
            <w:noWrap/>
            <w:hideMark/>
          </w:tcPr>
          <w:p w14:paraId="44F6A4F7"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 xml:space="preserve">  0.03*</w:t>
            </w:r>
          </w:p>
          <w:p w14:paraId="4523619C"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59" w:type="dxa"/>
            <w:noWrap/>
            <w:hideMark/>
          </w:tcPr>
          <w:p w14:paraId="79647B41"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0.01</w:t>
            </w:r>
          </w:p>
          <w:p w14:paraId="1ED967CC"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60" w:type="dxa"/>
            <w:noWrap/>
            <w:hideMark/>
          </w:tcPr>
          <w:p w14:paraId="156FC844"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0.01</w:t>
            </w:r>
          </w:p>
          <w:p w14:paraId="7C62934B"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r>
      <w:tr w:rsidR="003B6C52" w:rsidRPr="00CF6A7D" w14:paraId="3BC3BF70" w14:textId="77777777" w:rsidTr="003B6C52">
        <w:trPr>
          <w:trHeight w:val="306"/>
        </w:trPr>
        <w:tc>
          <w:tcPr>
            <w:cnfStyle w:val="001000000000" w:firstRow="0" w:lastRow="0" w:firstColumn="1" w:lastColumn="0" w:oddVBand="0" w:evenVBand="0" w:oddHBand="0" w:evenHBand="0" w:firstRowFirstColumn="0" w:firstRowLastColumn="0" w:lastRowFirstColumn="0" w:lastRowLastColumn="0"/>
            <w:tcW w:w="2730" w:type="dxa"/>
            <w:noWrap/>
            <w:hideMark/>
          </w:tcPr>
          <w:p w14:paraId="2925DEAE" w14:textId="77777777" w:rsidR="003B6C52" w:rsidRPr="00CF6A7D" w:rsidRDefault="003B6C52" w:rsidP="003B6C52">
            <w:pPr>
              <w:pStyle w:val="Tabletext"/>
              <w:rPr>
                <w:b w:val="0"/>
                <w:szCs w:val="16"/>
              </w:rPr>
            </w:pPr>
            <w:r w:rsidRPr="00CF6A7D">
              <w:rPr>
                <w:b w:val="0"/>
                <w:szCs w:val="16"/>
              </w:rPr>
              <w:t>Lowest quartile</w:t>
            </w:r>
          </w:p>
        </w:tc>
        <w:tc>
          <w:tcPr>
            <w:tcW w:w="1259" w:type="dxa"/>
            <w:noWrap/>
            <w:hideMark/>
          </w:tcPr>
          <w:p w14:paraId="2CDC8BB5"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-0.20**</w:t>
            </w:r>
          </w:p>
          <w:p w14:paraId="23E87812"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59" w:type="dxa"/>
            <w:noWrap/>
            <w:hideMark/>
          </w:tcPr>
          <w:p w14:paraId="285311CC"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0.12**</w:t>
            </w:r>
          </w:p>
          <w:p w14:paraId="15DE8EFC"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60" w:type="dxa"/>
            <w:noWrap/>
            <w:hideMark/>
          </w:tcPr>
          <w:p w14:paraId="16202527"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0.02</w:t>
            </w:r>
          </w:p>
          <w:p w14:paraId="6A3E0735"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59" w:type="dxa"/>
            <w:noWrap/>
            <w:hideMark/>
          </w:tcPr>
          <w:p w14:paraId="68A76560"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0.04*</w:t>
            </w:r>
          </w:p>
          <w:p w14:paraId="78E90E01"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60" w:type="dxa"/>
            <w:noWrap/>
            <w:hideMark/>
          </w:tcPr>
          <w:p w14:paraId="1FCB3F6A"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0.02*</w:t>
            </w:r>
          </w:p>
          <w:p w14:paraId="534C9382"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r>
      <w:tr w:rsidR="003B6C52" w:rsidRPr="00CF6A7D" w14:paraId="356E1451" w14:textId="77777777" w:rsidTr="003B6C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30" w:type="dxa"/>
            <w:noWrap/>
            <w:hideMark/>
          </w:tcPr>
          <w:p w14:paraId="5F940407" w14:textId="77777777" w:rsidR="003B6C52" w:rsidRPr="00CF6A7D" w:rsidRDefault="003B6C52" w:rsidP="003B6C52">
            <w:pPr>
              <w:pStyle w:val="Tabletext"/>
              <w:rPr>
                <w:szCs w:val="16"/>
              </w:rPr>
            </w:pPr>
            <w:r w:rsidRPr="00CF6A7D">
              <w:rPr>
                <w:szCs w:val="16"/>
              </w:rPr>
              <w:t>Metropolitan location</w:t>
            </w:r>
          </w:p>
          <w:p w14:paraId="4C6B604D" w14:textId="77777777" w:rsidR="003B6C52" w:rsidRPr="00CF6A7D" w:rsidRDefault="003B6C52" w:rsidP="003B6C52">
            <w:pPr>
              <w:pStyle w:val="Tabletext"/>
              <w:rPr>
                <w:b w:val="0"/>
                <w:szCs w:val="16"/>
              </w:rPr>
            </w:pPr>
            <w:r w:rsidRPr="00CF6A7D">
              <w:rPr>
                <w:b w:val="0"/>
                <w:szCs w:val="16"/>
              </w:rPr>
              <w:t>(ref: non-metropolitan location)</w:t>
            </w:r>
          </w:p>
        </w:tc>
        <w:tc>
          <w:tcPr>
            <w:tcW w:w="1259" w:type="dxa"/>
            <w:noWrap/>
            <w:hideMark/>
          </w:tcPr>
          <w:p w14:paraId="4E5A490E"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0.04*</w:t>
            </w:r>
          </w:p>
          <w:p w14:paraId="78B18B2E"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59" w:type="dxa"/>
            <w:noWrap/>
            <w:hideMark/>
          </w:tcPr>
          <w:p w14:paraId="4E354F88"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-0.03*</w:t>
            </w:r>
          </w:p>
          <w:p w14:paraId="6E38FCEE"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60" w:type="dxa"/>
            <w:noWrap/>
            <w:hideMark/>
          </w:tcPr>
          <w:p w14:paraId="1B4C1F37"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0.00</w:t>
            </w:r>
          </w:p>
          <w:p w14:paraId="5256320F"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59" w:type="dxa"/>
            <w:noWrap/>
            <w:hideMark/>
          </w:tcPr>
          <w:p w14:paraId="4FCB4250"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-0.01</w:t>
            </w:r>
          </w:p>
          <w:p w14:paraId="43BBE13C"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60" w:type="dxa"/>
            <w:noWrap/>
            <w:hideMark/>
          </w:tcPr>
          <w:p w14:paraId="19BCA366"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0.00</w:t>
            </w:r>
          </w:p>
          <w:p w14:paraId="74D54968"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r>
      <w:tr w:rsidR="003B6C52" w:rsidRPr="00CF6A7D" w14:paraId="727DD2D2" w14:textId="77777777" w:rsidTr="003B6C52">
        <w:trPr>
          <w:trHeight w:val="348"/>
        </w:trPr>
        <w:tc>
          <w:tcPr>
            <w:cnfStyle w:val="001000000000" w:firstRow="0" w:lastRow="0" w:firstColumn="1" w:lastColumn="0" w:oddVBand="0" w:evenVBand="0" w:oddHBand="0" w:evenHBand="0" w:firstRowFirstColumn="0" w:firstRowLastColumn="0" w:lastRowFirstColumn="0" w:lastRowLastColumn="0"/>
            <w:tcW w:w="2730" w:type="dxa"/>
            <w:noWrap/>
          </w:tcPr>
          <w:p w14:paraId="5B0E32E1" w14:textId="77777777" w:rsidR="003B6C52" w:rsidRPr="00CF6A7D" w:rsidRDefault="003B6C52" w:rsidP="003B6C52">
            <w:pPr>
              <w:pStyle w:val="Tabletext"/>
              <w:rPr>
                <w:b w:val="0"/>
                <w:szCs w:val="16"/>
              </w:rPr>
            </w:pPr>
            <w:r w:rsidRPr="00CF6A7D">
              <w:rPr>
                <w:szCs w:val="16"/>
              </w:rPr>
              <w:t>Mathematics achievement</w:t>
            </w:r>
            <w:r>
              <w:rPr>
                <w:szCs w:val="16"/>
              </w:rPr>
              <w:t xml:space="preserve"> PISA</w:t>
            </w:r>
          </w:p>
          <w:p w14:paraId="4AC2B835" w14:textId="77777777" w:rsidR="003B6C52" w:rsidRPr="00CF6A7D" w:rsidRDefault="003B6C52" w:rsidP="003B6C52">
            <w:pPr>
              <w:pStyle w:val="Tabletext"/>
              <w:rPr>
                <w:b w:val="0"/>
                <w:szCs w:val="16"/>
              </w:rPr>
            </w:pPr>
            <w:r w:rsidRPr="00CF6A7D">
              <w:rPr>
                <w:b w:val="0"/>
                <w:szCs w:val="16"/>
              </w:rPr>
              <w:t>(ref: top quartile)</w:t>
            </w:r>
          </w:p>
        </w:tc>
        <w:tc>
          <w:tcPr>
            <w:tcW w:w="1259" w:type="dxa"/>
            <w:noWrap/>
          </w:tcPr>
          <w:p w14:paraId="2B219442"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59" w:type="dxa"/>
            <w:noWrap/>
          </w:tcPr>
          <w:p w14:paraId="42417AFF"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60" w:type="dxa"/>
            <w:noWrap/>
          </w:tcPr>
          <w:p w14:paraId="65186C5D"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59" w:type="dxa"/>
            <w:noWrap/>
          </w:tcPr>
          <w:p w14:paraId="750222EB"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60" w:type="dxa"/>
            <w:noWrap/>
          </w:tcPr>
          <w:p w14:paraId="6E028A3A"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r>
      <w:tr w:rsidR="003B6C52" w:rsidRPr="00CF6A7D" w14:paraId="0CAB9A9E" w14:textId="77777777" w:rsidTr="003B6C52">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730" w:type="dxa"/>
            <w:noWrap/>
          </w:tcPr>
          <w:p w14:paraId="600DB6F3" w14:textId="77777777" w:rsidR="003B6C52" w:rsidRPr="00CF6A7D" w:rsidRDefault="003B6C52" w:rsidP="003B6C52">
            <w:pPr>
              <w:pStyle w:val="Tabletext"/>
              <w:rPr>
                <w:szCs w:val="16"/>
              </w:rPr>
            </w:pPr>
            <w:r w:rsidRPr="00CF6A7D">
              <w:rPr>
                <w:b w:val="0"/>
                <w:szCs w:val="16"/>
              </w:rPr>
              <w:t>Second quartile</w:t>
            </w:r>
          </w:p>
        </w:tc>
        <w:tc>
          <w:tcPr>
            <w:tcW w:w="1259" w:type="dxa"/>
            <w:noWrap/>
          </w:tcPr>
          <w:p w14:paraId="09308171"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-0.08**</w:t>
            </w:r>
          </w:p>
          <w:p w14:paraId="24E27484"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59" w:type="dxa"/>
            <w:noWrap/>
          </w:tcPr>
          <w:p w14:paraId="1E9CA2BA"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0.08**</w:t>
            </w:r>
          </w:p>
          <w:p w14:paraId="7A1B8AF0"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60" w:type="dxa"/>
            <w:noWrap/>
          </w:tcPr>
          <w:p w14:paraId="0DAE236F"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0.02</w:t>
            </w:r>
          </w:p>
          <w:p w14:paraId="6C9211BE"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59" w:type="dxa"/>
            <w:noWrap/>
          </w:tcPr>
          <w:p w14:paraId="3ABF9D9C"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-0.01</w:t>
            </w:r>
          </w:p>
          <w:p w14:paraId="640E3F9D"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60" w:type="dxa"/>
            <w:noWrap/>
          </w:tcPr>
          <w:p w14:paraId="11AB50FD"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-0.01</w:t>
            </w:r>
          </w:p>
          <w:p w14:paraId="744EC369"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r>
      <w:tr w:rsidR="003B6C52" w:rsidRPr="00CF6A7D" w14:paraId="1431CE7C" w14:textId="77777777" w:rsidTr="003B6C52">
        <w:trPr>
          <w:trHeight w:val="21"/>
        </w:trPr>
        <w:tc>
          <w:tcPr>
            <w:cnfStyle w:val="001000000000" w:firstRow="0" w:lastRow="0" w:firstColumn="1" w:lastColumn="0" w:oddVBand="0" w:evenVBand="0" w:oddHBand="0" w:evenHBand="0" w:firstRowFirstColumn="0" w:firstRowLastColumn="0" w:lastRowFirstColumn="0" w:lastRowLastColumn="0"/>
            <w:tcW w:w="2730" w:type="dxa"/>
            <w:noWrap/>
          </w:tcPr>
          <w:p w14:paraId="2E576276" w14:textId="77777777" w:rsidR="003B6C52" w:rsidRPr="00CF6A7D" w:rsidRDefault="003B6C52" w:rsidP="003B6C52">
            <w:pPr>
              <w:pStyle w:val="Tabletext"/>
              <w:rPr>
                <w:szCs w:val="16"/>
              </w:rPr>
            </w:pPr>
            <w:r w:rsidRPr="00CF6A7D">
              <w:rPr>
                <w:b w:val="0"/>
                <w:szCs w:val="16"/>
              </w:rPr>
              <w:t>Third quartile</w:t>
            </w:r>
          </w:p>
        </w:tc>
        <w:tc>
          <w:tcPr>
            <w:tcW w:w="1259" w:type="dxa"/>
            <w:noWrap/>
          </w:tcPr>
          <w:p w14:paraId="69691225"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-0.12**</w:t>
            </w:r>
          </w:p>
          <w:p w14:paraId="7EEA0801"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59" w:type="dxa"/>
            <w:noWrap/>
          </w:tcPr>
          <w:p w14:paraId="73420426"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0.11**</w:t>
            </w:r>
          </w:p>
          <w:p w14:paraId="46A61453"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60" w:type="dxa"/>
            <w:noWrap/>
          </w:tcPr>
          <w:p w14:paraId="6C668AFE"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0.01</w:t>
            </w:r>
          </w:p>
          <w:p w14:paraId="34EF201F"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59" w:type="dxa"/>
            <w:noWrap/>
          </w:tcPr>
          <w:p w14:paraId="54B003D3"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0.01</w:t>
            </w:r>
          </w:p>
          <w:p w14:paraId="7F8FA930"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60" w:type="dxa"/>
            <w:noWrap/>
          </w:tcPr>
          <w:p w14:paraId="455A9A16"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-0.01</w:t>
            </w:r>
          </w:p>
          <w:p w14:paraId="3FD61D60"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r>
      <w:tr w:rsidR="003B6C52" w:rsidRPr="00CF6A7D" w14:paraId="3E0A0F03" w14:textId="77777777" w:rsidTr="003B6C52">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730" w:type="dxa"/>
            <w:noWrap/>
          </w:tcPr>
          <w:p w14:paraId="55CB2005" w14:textId="77777777" w:rsidR="003B6C52" w:rsidRPr="00CF6A7D" w:rsidRDefault="003B6C52" w:rsidP="003B6C52">
            <w:pPr>
              <w:pStyle w:val="Tabletext"/>
              <w:rPr>
                <w:szCs w:val="16"/>
              </w:rPr>
            </w:pPr>
            <w:r w:rsidRPr="00CF6A7D">
              <w:rPr>
                <w:b w:val="0"/>
                <w:szCs w:val="16"/>
              </w:rPr>
              <w:t>Lowest quartile</w:t>
            </w:r>
          </w:p>
        </w:tc>
        <w:tc>
          <w:tcPr>
            <w:tcW w:w="1259" w:type="dxa"/>
            <w:noWrap/>
          </w:tcPr>
          <w:p w14:paraId="6C9849C3"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-0.25**</w:t>
            </w:r>
          </w:p>
          <w:p w14:paraId="2952B7E6"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59" w:type="dxa"/>
            <w:noWrap/>
          </w:tcPr>
          <w:p w14:paraId="6565C858"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0.16**</w:t>
            </w:r>
          </w:p>
          <w:p w14:paraId="0CC3D75A"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60" w:type="dxa"/>
            <w:noWrap/>
          </w:tcPr>
          <w:p w14:paraId="50294314"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0.03</w:t>
            </w:r>
          </w:p>
          <w:p w14:paraId="59FF369F"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59" w:type="dxa"/>
            <w:noWrap/>
          </w:tcPr>
          <w:p w14:paraId="2EDF623B"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0.04*</w:t>
            </w:r>
          </w:p>
          <w:p w14:paraId="4AC83D8F"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60" w:type="dxa"/>
            <w:noWrap/>
          </w:tcPr>
          <w:p w14:paraId="7EEE85C4"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0.02</w:t>
            </w:r>
          </w:p>
          <w:p w14:paraId="1F8EA2D9"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r>
      <w:tr w:rsidR="003B6C52" w:rsidRPr="00CF6A7D" w14:paraId="30527101" w14:textId="77777777" w:rsidTr="003B6C52">
        <w:trPr>
          <w:trHeight w:val="296"/>
        </w:trPr>
        <w:tc>
          <w:tcPr>
            <w:cnfStyle w:val="001000000000" w:firstRow="0" w:lastRow="0" w:firstColumn="1" w:lastColumn="0" w:oddVBand="0" w:evenVBand="0" w:oddHBand="0" w:evenHBand="0" w:firstRowFirstColumn="0" w:firstRowLastColumn="0" w:lastRowFirstColumn="0" w:lastRowLastColumn="0"/>
            <w:tcW w:w="2730" w:type="dxa"/>
            <w:noWrap/>
          </w:tcPr>
          <w:p w14:paraId="22EEB810" w14:textId="77777777" w:rsidR="003B6C52" w:rsidRPr="00CF6A7D" w:rsidRDefault="003B6C52" w:rsidP="003B6C52">
            <w:pPr>
              <w:pStyle w:val="Tabletext"/>
              <w:rPr>
                <w:b w:val="0"/>
                <w:szCs w:val="16"/>
              </w:rPr>
            </w:pPr>
            <w:r w:rsidRPr="00CF6A7D">
              <w:rPr>
                <w:szCs w:val="16"/>
              </w:rPr>
              <w:t>Reading achievement</w:t>
            </w:r>
            <w:r>
              <w:rPr>
                <w:szCs w:val="16"/>
              </w:rPr>
              <w:t xml:space="preserve"> PISA</w:t>
            </w:r>
          </w:p>
          <w:p w14:paraId="3B180CB6" w14:textId="77777777" w:rsidR="003B6C52" w:rsidRPr="00CF6A7D" w:rsidRDefault="003B6C52" w:rsidP="003B6C52">
            <w:pPr>
              <w:pStyle w:val="Tabletext"/>
              <w:rPr>
                <w:b w:val="0"/>
                <w:szCs w:val="16"/>
              </w:rPr>
            </w:pPr>
            <w:r w:rsidRPr="00CF6A7D">
              <w:rPr>
                <w:b w:val="0"/>
                <w:szCs w:val="16"/>
              </w:rPr>
              <w:t>(ref: top quartile)</w:t>
            </w:r>
          </w:p>
        </w:tc>
        <w:tc>
          <w:tcPr>
            <w:tcW w:w="1259" w:type="dxa"/>
            <w:noWrap/>
          </w:tcPr>
          <w:p w14:paraId="24AC8639"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59" w:type="dxa"/>
            <w:noWrap/>
          </w:tcPr>
          <w:p w14:paraId="09A605F6"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60" w:type="dxa"/>
            <w:noWrap/>
          </w:tcPr>
          <w:p w14:paraId="413F6C42"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59" w:type="dxa"/>
            <w:noWrap/>
          </w:tcPr>
          <w:p w14:paraId="3928FB2A"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60" w:type="dxa"/>
            <w:noWrap/>
          </w:tcPr>
          <w:p w14:paraId="74385644"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r>
      <w:tr w:rsidR="003B6C52" w:rsidRPr="00CF6A7D" w14:paraId="51D561A8" w14:textId="77777777" w:rsidTr="003B6C52">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730" w:type="dxa"/>
            <w:noWrap/>
          </w:tcPr>
          <w:p w14:paraId="65C60868" w14:textId="77777777" w:rsidR="003B6C52" w:rsidRPr="00CF6A7D" w:rsidRDefault="003B6C52" w:rsidP="003B6C52">
            <w:pPr>
              <w:pStyle w:val="Tabletext"/>
              <w:rPr>
                <w:b w:val="0"/>
                <w:szCs w:val="16"/>
              </w:rPr>
            </w:pPr>
            <w:r w:rsidRPr="00CF6A7D">
              <w:rPr>
                <w:b w:val="0"/>
                <w:szCs w:val="16"/>
              </w:rPr>
              <w:t>Second quartile</w:t>
            </w:r>
          </w:p>
        </w:tc>
        <w:tc>
          <w:tcPr>
            <w:tcW w:w="1259" w:type="dxa"/>
            <w:noWrap/>
          </w:tcPr>
          <w:p w14:paraId="793D5DD6"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-0.05*</w:t>
            </w:r>
          </w:p>
          <w:p w14:paraId="4245D5B3"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59" w:type="dxa"/>
            <w:noWrap/>
          </w:tcPr>
          <w:p w14:paraId="0C2410B8"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0.03</w:t>
            </w:r>
          </w:p>
          <w:p w14:paraId="5EA20A68"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60" w:type="dxa"/>
            <w:noWrap/>
          </w:tcPr>
          <w:p w14:paraId="09760E07"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0.01</w:t>
            </w:r>
          </w:p>
          <w:p w14:paraId="1104D8A5"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59" w:type="dxa"/>
            <w:noWrap/>
          </w:tcPr>
          <w:p w14:paraId="01F7EAF7"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-0.01</w:t>
            </w:r>
          </w:p>
          <w:p w14:paraId="1EFDC1FA"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60" w:type="dxa"/>
            <w:noWrap/>
          </w:tcPr>
          <w:p w14:paraId="080748CD"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0.02*</w:t>
            </w:r>
          </w:p>
          <w:p w14:paraId="1A8094B3"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r>
      <w:tr w:rsidR="003B6C52" w:rsidRPr="00CF6A7D" w14:paraId="5867B12F" w14:textId="77777777" w:rsidTr="003B6C52">
        <w:trPr>
          <w:trHeight w:val="62"/>
        </w:trPr>
        <w:tc>
          <w:tcPr>
            <w:cnfStyle w:val="001000000000" w:firstRow="0" w:lastRow="0" w:firstColumn="1" w:lastColumn="0" w:oddVBand="0" w:evenVBand="0" w:oddHBand="0" w:evenHBand="0" w:firstRowFirstColumn="0" w:firstRowLastColumn="0" w:lastRowFirstColumn="0" w:lastRowLastColumn="0"/>
            <w:tcW w:w="2730" w:type="dxa"/>
            <w:noWrap/>
          </w:tcPr>
          <w:p w14:paraId="02104094" w14:textId="77777777" w:rsidR="003B6C52" w:rsidRPr="00CF6A7D" w:rsidRDefault="003B6C52" w:rsidP="003B6C52">
            <w:pPr>
              <w:pStyle w:val="Tabletext"/>
              <w:rPr>
                <w:b w:val="0"/>
                <w:szCs w:val="16"/>
              </w:rPr>
            </w:pPr>
            <w:r w:rsidRPr="00CF6A7D">
              <w:rPr>
                <w:b w:val="0"/>
                <w:szCs w:val="16"/>
              </w:rPr>
              <w:t>Third quartile</w:t>
            </w:r>
          </w:p>
        </w:tc>
        <w:tc>
          <w:tcPr>
            <w:tcW w:w="1259" w:type="dxa"/>
            <w:noWrap/>
          </w:tcPr>
          <w:p w14:paraId="448A1960"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-0.11**</w:t>
            </w:r>
          </w:p>
          <w:p w14:paraId="00FC46C8"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59" w:type="dxa"/>
            <w:noWrap/>
          </w:tcPr>
          <w:p w14:paraId="69341509"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0.08**</w:t>
            </w:r>
          </w:p>
          <w:p w14:paraId="0E17E4D2"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60" w:type="dxa"/>
            <w:noWrap/>
          </w:tcPr>
          <w:p w14:paraId="45B21678"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0.01</w:t>
            </w:r>
          </w:p>
          <w:p w14:paraId="5C14CCB0"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59" w:type="dxa"/>
            <w:noWrap/>
          </w:tcPr>
          <w:p w14:paraId="24FD66A3"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0.01</w:t>
            </w:r>
          </w:p>
          <w:p w14:paraId="285747DE"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60" w:type="dxa"/>
            <w:noWrap/>
          </w:tcPr>
          <w:p w14:paraId="376CE285"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0.02*</w:t>
            </w:r>
          </w:p>
          <w:p w14:paraId="673ADE1B"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r>
      <w:tr w:rsidR="003B6C52" w:rsidRPr="00CF6A7D" w14:paraId="12A52D43" w14:textId="77777777" w:rsidTr="003B6C52">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730" w:type="dxa"/>
            <w:noWrap/>
          </w:tcPr>
          <w:p w14:paraId="1D055030" w14:textId="77777777" w:rsidR="003B6C52" w:rsidRPr="00CF6A7D" w:rsidRDefault="003B6C52" w:rsidP="003B6C52">
            <w:pPr>
              <w:pStyle w:val="Tabletext"/>
              <w:rPr>
                <w:b w:val="0"/>
                <w:szCs w:val="16"/>
              </w:rPr>
            </w:pPr>
            <w:r w:rsidRPr="00CF6A7D">
              <w:rPr>
                <w:b w:val="0"/>
                <w:szCs w:val="16"/>
              </w:rPr>
              <w:t>Lowest quartile</w:t>
            </w:r>
          </w:p>
        </w:tc>
        <w:tc>
          <w:tcPr>
            <w:tcW w:w="1259" w:type="dxa"/>
            <w:noWrap/>
          </w:tcPr>
          <w:p w14:paraId="6FE1FB6E"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-0.16**</w:t>
            </w:r>
          </w:p>
          <w:p w14:paraId="4B779B6E"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59" w:type="dxa"/>
            <w:noWrap/>
          </w:tcPr>
          <w:p w14:paraId="4692972A"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0.10**</w:t>
            </w:r>
          </w:p>
          <w:p w14:paraId="00BDF5B0"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60" w:type="dxa"/>
            <w:noWrap/>
          </w:tcPr>
          <w:p w14:paraId="128702BC"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0.01</w:t>
            </w:r>
          </w:p>
          <w:p w14:paraId="608096B3"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59" w:type="dxa"/>
            <w:noWrap/>
          </w:tcPr>
          <w:p w14:paraId="40224368"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0.02</w:t>
            </w:r>
          </w:p>
          <w:p w14:paraId="7D80BE00"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c>
          <w:tcPr>
            <w:tcW w:w="1260" w:type="dxa"/>
            <w:noWrap/>
          </w:tcPr>
          <w:p w14:paraId="4F06024E"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r w:rsidRPr="00D444C0">
              <w:rPr>
                <w:szCs w:val="16"/>
              </w:rPr>
              <w:t>0.03*</w:t>
            </w:r>
          </w:p>
          <w:p w14:paraId="3493515D" w14:textId="77777777" w:rsidR="003B6C52" w:rsidRPr="00D444C0" w:rsidRDefault="003B6C52" w:rsidP="003B6C52">
            <w:pPr>
              <w:pStyle w:val="Tabletext"/>
              <w:cnfStyle w:val="000000100000" w:firstRow="0" w:lastRow="0" w:firstColumn="0" w:lastColumn="0" w:oddVBand="0" w:evenVBand="0" w:oddHBand="1" w:evenHBand="0" w:firstRowFirstColumn="0" w:firstRowLastColumn="0" w:lastRowFirstColumn="0" w:lastRowLastColumn="0"/>
              <w:rPr>
                <w:szCs w:val="16"/>
              </w:rPr>
            </w:pPr>
          </w:p>
        </w:tc>
      </w:tr>
      <w:tr w:rsidR="003B6C52" w:rsidRPr="00CF6A7D" w14:paraId="7B097188" w14:textId="77777777" w:rsidTr="003B6C52">
        <w:trPr>
          <w:trHeight w:val="360"/>
        </w:trPr>
        <w:tc>
          <w:tcPr>
            <w:cnfStyle w:val="001000000000" w:firstRow="0" w:lastRow="0" w:firstColumn="1" w:lastColumn="0" w:oddVBand="0" w:evenVBand="0" w:oddHBand="0" w:evenHBand="0" w:firstRowFirstColumn="0" w:firstRowLastColumn="0" w:lastRowFirstColumn="0" w:lastRowLastColumn="0"/>
            <w:tcW w:w="2730" w:type="dxa"/>
            <w:noWrap/>
          </w:tcPr>
          <w:p w14:paraId="65C619F6" w14:textId="77777777" w:rsidR="003B6C52" w:rsidRPr="00CF6A7D" w:rsidRDefault="003B6C52" w:rsidP="003B6C52">
            <w:pPr>
              <w:pStyle w:val="Tabletext"/>
              <w:rPr>
                <w:szCs w:val="16"/>
              </w:rPr>
            </w:pPr>
            <w:r w:rsidRPr="00CF6A7D">
              <w:rPr>
                <w:szCs w:val="16"/>
              </w:rPr>
              <w:t>Vocational studies in school</w:t>
            </w:r>
          </w:p>
          <w:p w14:paraId="7BDEDC2A" w14:textId="77777777" w:rsidR="003B6C52" w:rsidRPr="00CF6A7D" w:rsidRDefault="003B6C52" w:rsidP="003B6C52">
            <w:pPr>
              <w:pStyle w:val="Tabletext"/>
              <w:rPr>
                <w:szCs w:val="16"/>
              </w:rPr>
            </w:pPr>
            <w:r w:rsidRPr="00CF6A7D">
              <w:rPr>
                <w:b w:val="0"/>
                <w:szCs w:val="16"/>
              </w:rPr>
              <w:t>(ref: no vocational studies in school)</w:t>
            </w:r>
          </w:p>
          <w:p w14:paraId="2FB12361" w14:textId="77777777" w:rsidR="003B6C52" w:rsidRPr="00CF6A7D" w:rsidRDefault="003B6C52" w:rsidP="003B6C52">
            <w:pPr>
              <w:pStyle w:val="Tabletext"/>
              <w:rPr>
                <w:b w:val="0"/>
                <w:szCs w:val="16"/>
              </w:rPr>
            </w:pPr>
          </w:p>
        </w:tc>
        <w:tc>
          <w:tcPr>
            <w:tcW w:w="1259" w:type="dxa"/>
            <w:noWrap/>
          </w:tcPr>
          <w:p w14:paraId="39A71E46"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-0.20**</w:t>
            </w:r>
          </w:p>
          <w:p w14:paraId="5B413BB2"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59" w:type="dxa"/>
            <w:noWrap/>
          </w:tcPr>
          <w:p w14:paraId="709BF474"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0.13**</w:t>
            </w:r>
          </w:p>
          <w:p w14:paraId="29FDE959"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60" w:type="dxa"/>
            <w:noWrap/>
          </w:tcPr>
          <w:p w14:paraId="0CEDC1B1"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0.03*</w:t>
            </w:r>
          </w:p>
          <w:p w14:paraId="182C6C49"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59" w:type="dxa"/>
            <w:noWrap/>
          </w:tcPr>
          <w:p w14:paraId="7B42DCD8"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0.02*</w:t>
            </w:r>
          </w:p>
          <w:p w14:paraId="4F1F50BD"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c>
          <w:tcPr>
            <w:tcW w:w="1260" w:type="dxa"/>
            <w:noWrap/>
          </w:tcPr>
          <w:p w14:paraId="7F694FAD"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r w:rsidRPr="00D444C0">
              <w:rPr>
                <w:szCs w:val="16"/>
              </w:rPr>
              <w:t>0.02**</w:t>
            </w:r>
          </w:p>
          <w:p w14:paraId="0622AB11" w14:textId="77777777" w:rsidR="003B6C52" w:rsidRPr="00D444C0" w:rsidRDefault="003B6C52" w:rsidP="003B6C52">
            <w:pPr>
              <w:pStyle w:val="Tabletext"/>
              <w:cnfStyle w:val="000000000000" w:firstRow="0" w:lastRow="0" w:firstColumn="0" w:lastColumn="0" w:oddVBand="0" w:evenVBand="0" w:oddHBand="0" w:evenHBand="0" w:firstRowFirstColumn="0" w:firstRowLastColumn="0" w:lastRowFirstColumn="0" w:lastRowLastColumn="0"/>
              <w:rPr>
                <w:szCs w:val="16"/>
              </w:rPr>
            </w:pPr>
          </w:p>
        </w:tc>
      </w:tr>
      <w:tr w:rsidR="003B6C52" w:rsidRPr="00CF6A7D" w14:paraId="5CA5388A" w14:textId="77777777" w:rsidTr="003B6C52">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730" w:type="dxa"/>
            <w:tcBorders>
              <w:top w:val="none" w:sz="0" w:space="0" w:color="auto"/>
              <w:left w:val="none" w:sz="0" w:space="0" w:color="auto"/>
              <w:bottom w:val="none" w:sz="0" w:space="0" w:color="auto"/>
              <w:right w:val="none" w:sz="0" w:space="0" w:color="auto"/>
            </w:tcBorders>
            <w:noWrap/>
          </w:tcPr>
          <w:p w14:paraId="34555DC0" w14:textId="77777777" w:rsidR="003B6C52" w:rsidRPr="00CF6A7D" w:rsidRDefault="003B6C52" w:rsidP="003B6C52">
            <w:pPr>
              <w:pStyle w:val="Tabletext"/>
              <w:rPr>
                <w:b w:val="0"/>
                <w:szCs w:val="16"/>
              </w:rPr>
            </w:pPr>
            <w:r>
              <w:rPr>
                <w:b w:val="0"/>
                <w:szCs w:val="16"/>
              </w:rPr>
              <w:t>Sample</w:t>
            </w:r>
            <w:r w:rsidRPr="00CF6A7D">
              <w:rPr>
                <w:b w:val="0"/>
                <w:szCs w:val="16"/>
              </w:rPr>
              <w:t xml:space="preserve"> size</w:t>
            </w:r>
          </w:p>
        </w:tc>
        <w:tc>
          <w:tcPr>
            <w:tcW w:w="1259" w:type="dxa"/>
            <w:tcBorders>
              <w:top w:val="none" w:sz="0" w:space="0" w:color="auto"/>
              <w:left w:val="none" w:sz="0" w:space="0" w:color="auto"/>
              <w:bottom w:val="none" w:sz="0" w:space="0" w:color="auto"/>
              <w:right w:val="none" w:sz="0" w:space="0" w:color="auto"/>
            </w:tcBorders>
            <w:noWrap/>
            <w:vAlign w:val="center"/>
          </w:tcPr>
          <w:p w14:paraId="49FA6597" w14:textId="77777777" w:rsidR="003B6C52" w:rsidRPr="00CA3FC1" w:rsidRDefault="003B6C52" w:rsidP="003B6C52">
            <w:pPr>
              <w:pStyle w:val="Tabletext"/>
              <w:cnfStyle w:val="000000100000" w:firstRow="0" w:lastRow="0" w:firstColumn="0" w:lastColumn="0" w:oddVBand="0" w:evenVBand="0" w:oddHBand="1" w:evenHBand="0" w:firstRowFirstColumn="0" w:firstRowLastColumn="0" w:lastRowFirstColumn="0" w:lastRowLastColumn="0"/>
              <w:rPr>
                <w:rFonts w:cs="Arial"/>
                <w:szCs w:val="17"/>
              </w:rPr>
            </w:pPr>
            <w:r w:rsidRPr="00CA3FC1">
              <w:rPr>
                <w:rFonts w:cs="Arial"/>
                <w:szCs w:val="17"/>
              </w:rPr>
              <w:t>1928</w:t>
            </w:r>
          </w:p>
        </w:tc>
        <w:tc>
          <w:tcPr>
            <w:tcW w:w="1259" w:type="dxa"/>
            <w:tcBorders>
              <w:top w:val="none" w:sz="0" w:space="0" w:color="auto"/>
              <w:left w:val="none" w:sz="0" w:space="0" w:color="auto"/>
              <w:bottom w:val="none" w:sz="0" w:space="0" w:color="auto"/>
              <w:right w:val="none" w:sz="0" w:space="0" w:color="auto"/>
            </w:tcBorders>
            <w:noWrap/>
            <w:vAlign w:val="center"/>
          </w:tcPr>
          <w:p w14:paraId="26183FB4" w14:textId="77777777" w:rsidR="003B6C52" w:rsidRPr="00CA3FC1" w:rsidRDefault="003B6C52" w:rsidP="003B6C52">
            <w:pPr>
              <w:pStyle w:val="Tabletext"/>
              <w:cnfStyle w:val="000000100000" w:firstRow="0" w:lastRow="0" w:firstColumn="0" w:lastColumn="0" w:oddVBand="0" w:evenVBand="0" w:oddHBand="1" w:evenHBand="0" w:firstRowFirstColumn="0" w:firstRowLastColumn="0" w:lastRowFirstColumn="0" w:lastRowLastColumn="0"/>
              <w:rPr>
                <w:rFonts w:cs="Arial"/>
                <w:szCs w:val="17"/>
              </w:rPr>
            </w:pPr>
            <w:r w:rsidRPr="00CA3FC1">
              <w:rPr>
                <w:rFonts w:cs="Arial"/>
                <w:szCs w:val="17"/>
              </w:rPr>
              <w:t>730</w:t>
            </w:r>
          </w:p>
        </w:tc>
        <w:tc>
          <w:tcPr>
            <w:tcW w:w="1260" w:type="dxa"/>
            <w:tcBorders>
              <w:top w:val="none" w:sz="0" w:space="0" w:color="auto"/>
              <w:left w:val="none" w:sz="0" w:space="0" w:color="auto"/>
              <w:bottom w:val="none" w:sz="0" w:space="0" w:color="auto"/>
              <w:right w:val="none" w:sz="0" w:space="0" w:color="auto"/>
            </w:tcBorders>
            <w:noWrap/>
            <w:vAlign w:val="center"/>
          </w:tcPr>
          <w:p w14:paraId="0B509ACF" w14:textId="77777777" w:rsidR="003B6C52" w:rsidRPr="00CA3FC1" w:rsidRDefault="003B6C52" w:rsidP="003B6C52">
            <w:pPr>
              <w:pStyle w:val="Tabletext"/>
              <w:cnfStyle w:val="000000100000" w:firstRow="0" w:lastRow="0" w:firstColumn="0" w:lastColumn="0" w:oddVBand="0" w:evenVBand="0" w:oddHBand="1" w:evenHBand="0" w:firstRowFirstColumn="0" w:firstRowLastColumn="0" w:lastRowFirstColumn="0" w:lastRowLastColumn="0"/>
              <w:rPr>
                <w:rFonts w:cs="Arial"/>
                <w:szCs w:val="17"/>
              </w:rPr>
            </w:pPr>
            <w:r w:rsidRPr="00CA3FC1">
              <w:rPr>
                <w:rFonts w:cs="Arial"/>
                <w:szCs w:val="17"/>
              </w:rPr>
              <w:t>254</w:t>
            </w:r>
          </w:p>
        </w:tc>
        <w:tc>
          <w:tcPr>
            <w:tcW w:w="1259" w:type="dxa"/>
            <w:tcBorders>
              <w:top w:val="none" w:sz="0" w:space="0" w:color="auto"/>
              <w:left w:val="none" w:sz="0" w:space="0" w:color="auto"/>
              <w:bottom w:val="none" w:sz="0" w:space="0" w:color="auto"/>
              <w:right w:val="none" w:sz="0" w:space="0" w:color="auto"/>
            </w:tcBorders>
            <w:noWrap/>
            <w:vAlign w:val="center"/>
          </w:tcPr>
          <w:p w14:paraId="2E4FB671" w14:textId="77777777" w:rsidR="003B6C52" w:rsidRPr="00CA3FC1" w:rsidRDefault="003B6C52" w:rsidP="003B6C52">
            <w:pPr>
              <w:pStyle w:val="Tabletext"/>
              <w:cnfStyle w:val="000000100000" w:firstRow="0" w:lastRow="0" w:firstColumn="0" w:lastColumn="0" w:oddVBand="0" w:evenVBand="0" w:oddHBand="1" w:evenHBand="0" w:firstRowFirstColumn="0" w:firstRowLastColumn="0" w:lastRowFirstColumn="0" w:lastRowLastColumn="0"/>
              <w:rPr>
                <w:rFonts w:cs="Arial"/>
                <w:szCs w:val="17"/>
              </w:rPr>
            </w:pPr>
            <w:r w:rsidRPr="00CA3FC1">
              <w:rPr>
                <w:rFonts w:cs="Arial"/>
                <w:szCs w:val="17"/>
              </w:rPr>
              <w:t>162</w:t>
            </w:r>
          </w:p>
        </w:tc>
        <w:tc>
          <w:tcPr>
            <w:tcW w:w="1260" w:type="dxa"/>
            <w:tcBorders>
              <w:top w:val="none" w:sz="0" w:space="0" w:color="auto"/>
              <w:left w:val="none" w:sz="0" w:space="0" w:color="auto"/>
              <w:bottom w:val="none" w:sz="0" w:space="0" w:color="auto"/>
              <w:right w:val="none" w:sz="0" w:space="0" w:color="auto"/>
            </w:tcBorders>
            <w:noWrap/>
            <w:vAlign w:val="center"/>
          </w:tcPr>
          <w:p w14:paraId="4316CC37" w14:textId="77777777" w:rsidR="003B6C52" w:rsidRPr="00CA3FC1" w:rsidRDefault="003B6C52" w:rsidP="003B6C52">
            <w:pPr>
              <w:pStyle w:val="Tabletext"/>
              <w:cnfStyle w:val="000000100000" w:firstRow="0" w:lastRow="0" w:firstColumn="0" w:lastColumn="0" w:oddVBand="0" w:evenVBand="0" w:oddHBand="1" w:evenHBand="0" w:firstRowFirstColumn="0" w:firstRowLastColumn="0" w:lastRowFirstColumn="0" w:lastRowLastColumn="0"/>
              <w:rPr>
                <w:rFonts w:cs="Arial"/>
                <w:szCs w:val="17"/>
              </w:rPr>
            </w:pPr>
            <w:r w:rsidRPr="00CA3FC1">
              <w:rPr>
                <w:rFonts w:cs="Arial"/>
                <w:szCs w:val="17"/>
              </w:rPr>
              <w:t>112</w:t>
            </w:r>
          </w:p>
        </w:tc>
      </w:tr>
    </w:tbl>
    <w:p w14:paraId="71CE55DE" w14:textId="77777777" w:rsidR="003B6C52" w:rsidRDefault="003B6C52" w:rsidP="003B6C52">
      <w:pPr>
        <w:pStyle w:val="Source"/>
        <w:ind w:left="0" w:firstLine="0"/>
      </w:pPr>
      <w:r w:rsidRPr="00CF6A7D">
        <w:rPr>
          <w:rFonts w:cs="Arial"/>
        </w:rPr>
        <w:t xml:space="preserve">** significant at the 1% level (p&lt;0.01); </w:t>
      </w:r>
      <w:r w:rsidRPr="00CF6A7D">
        <w:t>*significant at the 5% level (</w:t>
      </w:r>
      <w:r w:rsidRPr="00CF6A7D">
        <w:rPr>
          <w:i/>
        </w:rPr>
        <w:t>p&lt;0.05</w:t>
      </w:r>
      <w:r w:rsidRPr="00CF6A7D">
        <w:t>)</w:t>
      </w:r>
      <w:r>
        <w:t>.</w:t>
      </w:r>
    </w:p>
    <w:p w14:paraId="652BAD14" w14:textId="2E82735C" w:rsidR="003B6C52" w:rsidRDefault="003B6C52" w:rsidP="003B6C52">
      <w:pPr>
        <w:pStyle w:val="Text"/>
      </w:pPr>
      <w:r w:rsidRPr="00F51BB4">
        <w:t xml:space="preserve">Studying vocational subjects in secondary school increases the probability of a young person following Pathway 2 (Early entry to </w:t>
      </w:r>
      <w:r w:rsidR="00C05334">
        <w:t>f</w:t>
      </w:r>
      <w:r w:rsidRPr="00F51BB4">
        <w:t xml:space="preserve">ull-time work) on average, by 13 percentage points </w:t>
      </w:r>
      <w:r w:rsidR="00C05334">
        <w:t>−</w:t>
      </w:r>
      <w:r w:rsidRPr="00F51BB4">
        <w:t xml:space="preserve"> the highest amongst all pathways. Young people from the lowest quartile of mathematics and reading achievement also have an increased probability of following Pathway 2 on average, by 16 and 10 percentage points, respectively, compared </w:t>
      </w:r>
      <w:r w:rsidR="00C05334">
        <w:t>with</w:t>
      </w:r>
      <w:r w:rsidRPr="00F51BB4">
        <w:t xml:space="preserve"> those in the top </w:t>
      </w:r>
      <w:r w:rsidRPr="00F51BB4">
        <w:lastRenderedPageBreak/>
        <w:t>quartile. This shows that</w:t>
      </w:r>
      <w:r w:rsidR="002E0AE9">
        <w:t>,</w:t>
      </w:r>
      <w:r w:rsidRPr="00F51BB4">
        <w:t xml:space="preserve"> for young people with lower achievement scores in school, there are alternative avenues</w:t>
      </w:r>
      <w:r w:rsidR="00A851E5">
        <w:t xml:space="preserve"> to higher education</w:t>
      </w:r>
      <w:r w:rsidRPr="00F51BB4">
        <w:t xml:space="preserve"> that provide and facilitate smooth transition to the labour market.</w:t>
      </w:r>
    </w:p>
    <w:p w14:paraId="579BBDF1" w14:textId="03C776BE" w:rsidR="003B6C52" w:rsidRDefault="003B6C52" w:rsidP="003B6C52">
      <w:pPr>
        <w:pStyle w:val="Text"/>
      </w:pPr>
      <w:r>
        <w:t xml:space="preserve">The findings from this study support existing evidence that vocational education is an important element </w:t>
      </w:r>
      <w:r w:rsidR="0097266F">
        <w:t>of student</w:t>
      </w:r>
      <w:r>
        <w:t xml:space="preserve"> pathways, </w:t>
      </w:r>
      <w:r w:rsidR="00436103">
        <w:t>confirming</w:t>
      </w:r>
      <w:r>
        <w:t xml:space="preserve"> the relevance of policies </w:t>
      </w:r>
      <w:r w:rsidR="00436103">
        <w:t>designed to</w:t>
      </w:r>
      <w:r>
        <w:t xml:space="preserve"> improv</w:t>
      </w:r>
      <w:r w:rsidR="00436103">
        <w:t>e</w:t>
      </w:r>
      <w:r>
        <w:t xml:space="preserve"> access to</w:t>
      </w:r>
      <w:r w:rsidR="006A3012">
        <w:t>,</w:t>
      </w:r>
      <w:r>
        <w:t xml:space="preserve"> and </w:t>
      </w:r>
      <w:r w:rsidR="0074208E">
        <w:t>supply of</w:t>
      </w:r>
      <w:r w:rsidR="006A3012">
        <w:t>,</w:t>
      </w:r>
      <w:r w:rsidR="0074208E">
        <w:t xml:space="preserve"> </w:t>
      </w:r>
      <w:r>
        <w:t xml:space="preserve">information on vocational and other education and training opportunities </w:t>
      </w:r>
      <w:r w:rsidR="006A3012">
        <w:t>for</w:t>
      </w:r>
      <w:r>
        <w:t xml:space="preserve"> young people. Existing Australian </w:t>
      </w:r>
      <w:r w:rsidR="00DA6E39">
        <w:t>G</w:t>
      </w:r>
      <w:r>
        <w:t xml:space="preserve">overnment initiatives such as those stemming from the </w:t>
      </w:r>
      <w:r w:rsidRPr="00685BEE">
        <w:t>National Partnership</w:t>
      </w:r>
      <w:r>
        <w:t xml:space="preserve"> and the VET in Schools program are aimed at supporting </w:t>
      </w:r>
      <w:r w:rsidR="008A620B">
        <w:t>these</w:t>
      </w:r>
      <w:r>
        <w:t xml:space="preserve"> pathways. Further research on how </w:t>
      </w:r>
      <w:r w:rsidR="006A3012">
        <w:t>young people</w:t>
      </w:r>
      <w:r>
        <w:t xml:space="preserve"> engage with the VET system, </w:t>
      </w:r>
      <w:r w:rsidR="00A0717C">
        <w:t xml:space="preserve">as well </w:t>
      </w:r>
      <w:r w:rsidR="0099569F">
        <w:t xml:space="preserve">as on </w:t>
      </w:r>
      <w:r w:rsidR="00A0717C">
        <w:t xml:space="preserve">the </w:t>
      </w:r>
      <w:r>
        <w:t>factors associated with completion and labour market outcomes</w:t>
      </w:r>
      <w:r w:rsidR="00A0717C">
        <w:t>,</w:t>
      </w:r>
      <w:r>
        <w:t xml:space="preserve"> will provide important insights in</w:t>
      </w:r>
      <w:r w:rsidR="008B6560">
        <w:t>to</w:t>
      </w:r>
      <w:r>
        <w:t xml:space="preserve"> further policy planning and design.  </w:t>
      </w:r>
    </w:p>
    <w:p w14:paraId="0CD2B30D" w14:textId="3013D2FB" w:rsidR="003B6C52" w:rsidRDefault="003B6C52" w:rsidP="003B6C52">
      <w:pPr>
        <w:pStyle w:val="Text"/>
      </w:pPr>
      <w:r>
        <w:t>The analysis also uncovered a pathway where</w:t>
      </w:r>
      <w:r w:rsidR="00A0717C">
        <w:t>by</w:t>
      </w:r>
      <w:r>
        <w:t xml:space="preserve"> young people experienced frequent labour market churning and </w:t>
      </w:r>
      <w:r w:rsidRPr="00F51BB4">
        <w:t>disengagement. While this is a diverse and complex group, certain demographic variables</w:t>
      </w:r>
      <w:r w:rsidR="00DD4719">
        <w:t>,</w:t>
      </w:r>
      <w:r w:rsidRPr="00F51BB4">
        <w:t xml:space="preserve"> such as low socioeconomic status and low mathematics achievement scores</w:t>
      </w:r>
      <w:r w:rsidR="00DD4719">
        <w:t>,</w:t>
      </w:r>
      <w:r w:rsidRPr="00F51BB4">
        <w:t xml:space="preserve"> were identified as increasing the probability of </w:t>
      </w:r>
      <w:r w:rsidR="00DD4719">
        <w:t xml:space="preserve">young people </w:t>
      </w:r>
      <w:r w:rsidRPr="00F51BB4">
        <w:t xml:space="preserve">being in this pathway. </w:t>
      </w:r>
      <w:r w:rsidR="00BE3A11">
        <w:t>The i</w:t>
      </w:r>
      <w:r w:rsidRPr="00F51BB4">
        <w:t>dentification of the factors associated with this group could inform early intervention</w:t>
      </w:r>
      <w:r w:rsidR="00D920EE">
        <w:t>s</w:t>
      </w:r>
      <w:r w:rsidRPr="00F51BB4">
        <w:t xml:space="preserve"> and </w:t>
      </w:r>
      <w:r w:rsidR="00D920EE">
        <w:t xml:space="preserve">assist in the </w:t>
      </w:r>
      <w:r w:rsidRPr="00F51BB4">
        <w:t>targeting of strategies to help young people at risk. More</w:t>
      </w:r>
      <w:r w:rsidRPr="005460B7">
        <w:t xml:space="preserve"> broadly, though, policy must be sensitive to the fact that there is considerable heterogeneity within this group and that NEET status can be transitory for some youth.</w:t>
      </w:r>
      <w:r>
        <w:rPr>
          <w:sz w:val="20"/>
        </w:rPr>
        <w:t xml:space="preserve"> </w:t>
      </w:r>
      <w:r>
        <w:t>In general, pathways that are not heavily focused on education or work tend to be more heterogenous and complex</w:t>
      </w:r>
      <w:r w:rsidR="00D920EE">
        <w:t>,</w:t>
      </w:r>
      <w:r>
        <w:t xml:space="preserve"> reflecting the trajectories of young people who might be combining education, work and family, or those who may be experiencing difficult transitions.</w:t>
      </w:r>
    </w:p>
    <w:p w14:paraId="0391A1DB" w14:textId="493E8A52" w:rsidR="0097266F" w:rsidRPr="003648DC" w:rsidRDefault="0097266F" w:rsidP="003B6C52">
      <w:pPr>
        <w:pStyle w:val="Text"/>
        <w:rPr>
          <w:sz w:val="20"/>
        </w:rPr>
      </w:pPr>
      <w:r>
        <w:t>Several limitations to this study include the inability of existing methods to accommodate</w:t>
      </w:r>
      <w:r w:rsidR="0051775D">
        <w:t xml:space="preserve"> sample weights – either in the sequence analysis or the cluster process – to make the findings representative of the general population of 16 to 25-year-old Australians. Additionally, the study sample is limited to those who completed all 10 waves of the survey, resulting in the loss of information for the cases who failed to complete the survey in these subsequent years. Thus, future research ideas include creating customised weights for the study sample to increase the ability to generalise these findings.</w:t>
      </w:r>
    </w:p>
    <w:p w14:paraId="0A2BADCD" w14:textId="16230854" w:rsidR="003B6C52" w:rsidRDefault="003B6C52" w:rsidP="003B6C52">
      <w:pPr>
        <w:pStyle w:val="Text"/>
      </w:pPr>
      <w:r>
        <w:t>A</w:t>
      </w:r>
      <w:r w:rsidR="001178AB">
        <w:t>nother</w:t>
      </w:r>
      <w:r>
        <w:t xml:space="preserve"> useful extension to this study would be to implement the current methodology across different LSAY cohorts. Such an analysis would provide a longer-term picture on how trends in transition patterns have changed over time as the educational and labour market context</w:t>
      </w:r>
      <w:r w:rsidR="008B6560">
        <w:t>s</w:t>
      </w:r>
      <w:r>
        <w:t xml:space="preserve"> change</w:t>
      </w:r>
      <w:r w:rsidR="00C36862">
        <w:t>d</w:t>
      </w:r>
      <w:r>
        <w:t xml:space="preserve">. Given that young people are increasingly following a diverse range of post-school pathways, understanding </w:t>
      </w:r>
      <w:r w:rsidR="00887C6B">
        <w:t xml:space="preserve">the </w:t>
      </w:r>
      <w:r>
        <w:t>educational choices</w:t>
      </w:r>
      <w:r w:rsidR="001178AB">
        <w:t xml:space="preserve"> </w:t>
      </w:r>
      <w:r w:rsidR="00DC03DC">
        <w:t>of</w:t>
      </w:r>
      <w:r w:rsidR="001178AB">
        <w:t xml:space="preserve"> following</w:t>
      </w:r>
      <w:r w:rsidR="00DC03DC">
        <w:t xml:space="preserve"> a </w:t>
      </w:r>
      <w:r>
        <w:t xml:space="preserve">vocational </w:t>
      </w:r>
      <w:r w:rsidR="00F778E5">
        <w:t>or</w:t>
      </w:r>
      <w:r>
        <w:t xml:space="preserve"> academic pathway</w:t>
      </w:r>
      <w:r w:rsidR="001178AB">
        <w:t xml:space="preserve"> </w:t>
      </w:r>
      <w:r>
        <w:t>will be useful in exploring alternative pathways for different groups</w:t>
      </w:r>
      <w:r w:rsidR="001178AB">
        <w:t xml:space="preserve"> of young people. For example, engaging</w:t>
      </w:r>
      <w:r>
        <w:t xml:space="preserve"> early school leavers</w:t>
      </w:r>
      <w:r w:rsidR="001178AB">
        <w:t xml:space="preserve"> through vocational education,</w:t>
      </w:r>
      <w:r>
        <w:t xml:space="preserve"> and the role of apprenticeships and traineeships</w:t>
      </w:r>
      <w:r w:rsidR="001178AB">
        <w:t xml:space="preserve"> as a transitional platform</w:t>
      </w:r>
      <w:r>
        <w:t xml:space="preserve"> (which are not discussed in this </w:t>
      </w:r>
      <w:r w:rsidR="001178AB">
        <w:t>chapter</w:t>
      </w:r>
      <w:r>
        <w:t xml:space="preserve">). Examining the relationship between </w:t>
      </w:r>
      <w:r w:rsidR="00887C6B">
        <w:t xml:space="preserve">the </w:t>
      </w:r>
      <w:r>
        <w:t xml:space="preserve">attitudes and aspirations of young people and their future labour market outcomes is another potential extension of this research. Understanding the factors that moderate them would be particularly relevant in providing effective support for young people in decision-making at key transition points. </w:t>
      </w:r>
    </w:p>
    <w:p w14:paraId="38FDA982" w14:textId="77777777" w:rsidR="006531FD" w:rsidRDefault="006531FD" w:rsidP="003B6C52">
      <w:pPr>
        <w:pStyle w:val="Heading2"/>
        <w:sectPr w:rsidR="006531FD" w:rsidSect="00E41DF7">
          <w:pgSz w:w="11907" w:h="16840" w:code="9"/>
          <w:pgMar w:top="1276" w:right="2552" w:bottom="992" w:left="1418" w:header="709" w:footer="556" w:gutter="0"/>
          <w:cols w:space="708"/>
          <w:docGrid w:linePitch="360"/>
        </w:sectPr>
      </w:pPr>
    </w:p>
    <w:p w14:paraId="164A6242" w14:textId="6A577A59" w:rsidR="000C6AB3" w:rsidRDefault="000C6AB3" w:rsidP="006531FD">
      <w:pPr>
        <w:pStyle w:val="Heading2"/>
        <w:spacing w:before="0" w:after="240"/>
      </w:pPr>
      <w:bookmarkStart w:id="378" w:name="_Toc15048987"/>
      <w:bookmarkStart w:id="379" w:name="_Toc19804001"/>
      <w:r>
        <w:lastRenderedPageBreak/>
        <w:t>References</w:t>
      </w:r>
      <w:bookmarkEnd w:id="378"/>
      <w:bookmarkEnd w:id="379"/>
    </w:p>
    <w:p w14:paraId="3EA84C0D" w14:textId="200D8B27" w:rsidR="000C6AB3" w:rsidRPr="00B3304D" w:rsidRDefault="000C6AB3" w:rsidP="006531FD">
      <w:pPr>
        <w:pStyle w:val="References"/>
      </w:pPr>
      <w:r>
        <w:t xml:space="preserve">Anders, J &amp; Dorsett, R 2017, ‘What young English people do once they reach school-leaving age: a cross-cohort comparison for the last 20 years’, </w:t>
      </w:r>
      <w:r>
        <w:rPr>
          <w:i/>
        </w:rPr>
        <w:t>Longitudinal and Life Course Studies</w:t>
      </w:r>
      <w:r>
        <w:t>, vol.8, pp.75</w:t>
      </w:r>
      <w:r w:rsidR="00C20F5B">
        <w:t>−</w:t>
      </w:r>
      <w:r>
        <w:t>103.</w:t>
      </w:r>
    </w:p>
    <w:p w14:paraId="3B880AD9" w14:textId="6A898791" w:rsidR="000C6AB3" w:rsidRPr="00B3304D" w:rsidRDefault="000C6AB3" w:rsidP="006531FD">
      <w:pPr>
        <w:pStyle w:val="References"/>
      </w:pPr>
      <w:r>
        <w:t xml:space="preserve">Dorsett, R &amp; </w:t>
      </w:r>
      <w:proofErr w:type="spellStart"/>
      <w:r>
        <w:t>Luccino</w:t>
      </w:r>
      <w:proofErr w:type="spellEnd"/>
      <w:r>
        <w:t xml:space="preserve">, P 2014, ‘Explaining patterns in the school-to-work transition: an analysis using optimal matching’, </w:t>
      </w:r>
      <w:r>
        <w:rPr>
          <w:i/>
        </w:rPr>
        <w:t>Advances in Life Course Research</w:t>
      </w:r>
      <w:r>
        <w:t>, vol.22, pp.1</w:t>
      </w:r>
      <w:r w:rsidR="00C20F5B">
        <w:t>−</w:t>
      </w:r>
      <w:r>
        <w:t>14.</w:t>
      </w:r>
    </w:p>
    <w:p w14:paraId="6D150264" w14:textId="32A4C575" w:rsidR="000C6AB3" w:rsidRPr="00B3304D" w:rsidRDefault="000C6AB3" w:rsidP="006531FD">
      <w:pPr>
        <w:pStyle w:val="References"/>
      </w:pPr>
      <w:r>
        <w:t xml:space="preserve">Fry, J &amp; Boulton, C 2013, </w:t>
      </w:r>
      <w:r>
        <w:rPr>
          <w:i/>
        </w:rPr>
        <w:t xml:space="preserve">Prevalence of </w:t>
      </w:r>
      <w:r w:rsidR="00C20F5B">
        <w:rPr>
          <w:i/>
        </w:rPr>
        <w:t xml:space="preserve">transition pathways </w:t>
      </w:r>
      <w:r>
        <w:rPr>
          <w:i/>
        </w:rPr>
        <w:t>in Australia</w:t>
      </w:r>
      <w:r>
        <w:t xml:space="preserve">, Productivity Commission </w:t>
      </w:r>
      <w:r w:rsidR="00C20F5B">
        <w:t>staff working paper</w:t>
      </w:r>
      <w:r>
        <w:t>, Canberra.</w:t>
      </w:r>
    </w:p>
    <w:p w14:paraId="5A09B52E" w14:textId="23F69621" w:rsidR="000C6AB3" w:rsidRPr="00A52754" w:rsidRDefault="000C6AB3" w:rsidP="006531FD">
      <w:pPr>
        <w:pStyle w:val="References"/>
      </w:pPr>
      <w:r>
        <w:t xml:space="preserve">McVicar, D &amp; </w:t>
      </w:r>
      <w:proofErr w:type="spellStart"/>
      <w:r>
        <w:t>Anyadike</w:t>
      </w:r>
      <w:proofErr w:type="spellEnd"/>
      <w:r>
        <w:t xml:space="preserve">-Danes, M 2002, ‘Predicting successful and unsuccessful transitions from school to work using sequence methods’, </w:t>
      </w:r>
      <w:r>
        <w:rPr>
          <w:i/>
        </w:rPr>
        <w:t>Journal of the Royal Statistical Society</w:t>
      </w:r>
      <w:r>
        <w:t xml:space="preserve">, </w:t>
      </w:r>
      <w:r w:rsidR="00C20F5B">
        <w:t>s</w:t>
      </w:r>
      <w:r>
        <w:t>eries A, vol.165, part 2, pp.317</w:t>
      </w:r>
      <w:r w:rsidR="00C20F5B">
        <w:t>−</w:t>
      </w:r>
      <w:r>
        <w:t>34.</w:t>
      </w:r>
    </w:p>
    <w:p w14:paraId="49BEB37E" w14:textId="622D8D21" w:rsidR="000C6AB3" w:rsidRPr="00A52754" w:rsidRDefault="000C6AB3" w:rsidP="006531FD">
      <w:pPr>
        <w:pStyle w:val="References"/>
      </w:pPr>
      <w:proofErr w:type="spellStart"/>
      <w:r>
        <w:t>Schoon</w:t>
      </w:r>
      <w:proofErr w:type="spellEnd"/>
      <w:r>
        <w:t xml:space="preserve">, I &amp; Lyons-Amos, M 2016, ‘Diverse pathways in becoming an adult: the role of structure, agency and context’, </w:t>
      </w:r>
      <w:r>
        <w:rPr>
          <w:i/>
        </w:rPr>
        <w:t>Research in Social Stratification and Mobility</w:t>
      </w:r>
      <w:r>
        <w:t>, vol.46, pp.11</w:t>
      </w:r>
      <w:r w:rsidR="00C20F5B">
        <w:t>−</w:t>
      </w:r>
      <w:r>
        <w:t>20.</w:t>
      </w:r>
    </w:p>
    <w:p w14:paraId="0DEB734F" w14:textId="590345EC" w:rsidR="003B6C52" w:rsidRDefault="003B6C52" w:rsidP="006531FD">
      <w:pPr>
        <w:pStyle w:val="References"/>
      </w:pPr>
      <w:r w:rsidRPr="006208EE">
        <w:t>Studer, M 2013, Weighted</w:t>
      </w:r>
      <w:r w:rsidR="000F3D1E">
        <w:t xml:space="preserve"> </w:t>
      </w:r>
      <w:r w:rsidR="00C20F5B" w:rsidRPr="006208EE">
        <w:t xml:space="preserve">cluster library manual: a </w:t>
      </w:r>
      <w:r w:rsidRPr="006208EE">
        <w:t xml:space="preserve">practical guide to creating typologies of trajectories in the social sciences with R. LIVES Working Papers, 24. </w:t>
      </w:r>
      <w:r w:rsidR="00C20F5B">
        <w:t>&lt;</w:t>
      </w:r>
      <w:r w:rsidRPr="006208EE">
        <w:t>http://dx.doi.org/10.12682/lives.2296-1658.2013.24</w:t>
      </w:r>
      <w:r w:rsidR="00C20F5B">
        <w:t>&gt;</w:t>
      </w:r>
      <w:r w:rsidRPr="006208EE">
        <w:t>.</w:t>
      </w:r>
    </w:p>
    <w:p w14:paraId="6BB0374A" w14:textId="5214654F" w:rsidR="00B103B1" w:rsidRDefault="00874940" w:rsidP="006531FD">
      <w:pPr>
        <w:pStyle w:val="References"/>
      </w:pPr>
      <w:r>
        <w:t xml:space="preserve">Studer, M &amp; </w:t>
      </w:r>
      <w:proofErr w:type="spellStart"/>
      <w:r>
        <w:t>Ritschard</w:t>
      </w:r>
      <w:proofErr w:type="spellEnd"/>
      <w:r>
        <w:t xml:space="preserve">, G </w:t>
      </w:r>
      <w:r w:rsidR="000C6AB3">
        <w:t xml:space="preserve">2016, ‘What matters in differences between life trajectories: a comparative review of sequence dissimilarity measures’, </w:t>
      </w:r>
      <w:r w:rsidR="000C6AB3">
        <w:rPr>
          <w:i/>
        </w:rPr>
        <w:t>Journal of the Royal Statistical Society</w:t>
      </w:r>
      <w:r w:rsidR="000C6AB3">
        <w:t>, vol.179, part 2, pp.481</w:t>
      </w:r>
      <w:r w:rsidR="00C20F5B">
        <w:t>−</w:t>
      </w:r>
      <w:r w:rsidR="000C6AB3">
        <w:t>511.</w:t>
      </w:r>
    </w:p>
    <w:p w14:paraId="737F7684" w14:textId="77777777" w:rsidR="00B103B1" w:rsidRDefault="00B103B1">
      <w:pPr>
        <w:spacing w:before="0" w:line="240" w:lineRule="auto"/>
        <w:rPr>
          <w:sz w:val="18"/>
        </w:rPr>
      </w:pPr>
      <w:r>
        <w:br w:type="page"/>
      </w:r>
    </w:p>
    <w:p w14:paraId="256DABE8" w14:textId="77777777" w:rsidR="000C6AB3" w:rsidRDefault="000C6AB3">
      <w:pPr>
        <w:pStyle w:val="Text"/>
        <w:sectPr w:rsidR="000C6AB3" w:rsidSect="00E41DF7">
          <w:pgSz w:w="11907" w:h="16840" w:code="9"/>
          <w:pgMar w:top="1276" w:right="2552" w:bottom="992" w:left="1418" w:header="709" w:footer="556" w:gutter="0"/>
          <w:cols w:space="708"/>
          <w:docGrid w:linePitch="360"/>
        </w:sectPr>
      </w:pPr>
    </w:p>
    <w:p w14:paraId="272668DB" w14:textId="77777777" w:rsidR="006D7A86" w:rsidRDefault="006D7A86">
      <w:pPr>
        <w:pStyle w:val="Text"/>
      </w:pPr>
    </w:p>
    <w:bookmarkEnd w:id="39"/>
    <w:bookmarkEnd w:id="203"/>
    <w:bookmarkEnd w:id="204"/>
    <w:bookmarkEnd w:id="205"/>
    <w:bookmarkEnd w:id="206"/>
    <w:p w14:paraId="5967862D" w14:textId="1EA0BA0F" w:rsidR="00606061" w:rsidRDefault="00606061" w:rsidP="00A93A9F">
      <w:pPr>
        <w:spacing w:before="0" w:line="240" w:lineRule="auto"/>
        <w:rPr>
          <w:noProof/>
        </w:rPr>
      </w:pPr>
    </w:p>
    <w:p w14:paraId="32579DC9" w14:textId="18F769B6" w:rsidR="00B1704F" w:rsidRPr="00B1704F" w:rsidRDefault="00B1704F" w:rsidP="00B1704F"/>
    <w:p w14:paraId="669F25C9" w14:textId="0279727B" w:rsidR="00B1704F" w:rsidRPr="00B1704F" w:rsidRDefault="00B1704F" w:rsidP="00B1704F"/>
    <w:p w14:paraId="08297FBA" w14:textId="3B15A80A" w:rsidR="00B1704F" w:rsidRPr="00B1704F" w:rsidRDefault="00B1704F" w:rsidP="00B1704F"/>
    <w:p w14:paraId="48DC4B35" w14:textId="463E1B07" w:rsidR="00B1704F" w:rsidRPr="00B1704F" w:rsidRDefault="00B1704F" w:rsidP="00B1704F"/>
    <w:p w14:paraId="579FAF29" w14:textId="240FAD02" w:rsidR="00B1704F" w:rsidRPr="00B1704F" w:rsidRDefault="00B1704F" w:rsidP="00B1704F"/>
    <w:p w14:paraId="086CFBE6" w14:textId="580855AF" w:rsidR="00B1704F" w:rsidRPr="00B1704F" w:rsidRDefault="00B1704F" w:rsidP="00B1704F"/>
    <w:p w14:paraId="52CBFE14" w14:textId="76DF277E" w:rsidR="00B1704F" w:rsidRPr="00B1704F" w:rsidRDefault="00B1704F" w:rsidP="00B1704F"/>
    <w:p w14:paraId="69FB11FE" w14:textId="5FEE3BFA" w:rsidR="00B1704F" w:rsidRPr="00B1704F" w:rsidRDefault="00B1704F" w:rsidP="00B1704F"/>
    <w:p w14:paraId="517FC594" w14:textId="2DCB9DDA" w:rsidR="00B1704F" w:rsidRPr="00B1704F" w:rsidRDefault="00B1704F" w:rsidP="00B1704F"/>
    <w:p w14:paraId="77737AED" w14:textId="170D6FCC" w:rsidR="00B1704F" w:rsidRPr="00B1704F" w:rsidRDefault="00B1704F" w:rsidP="00B1704F"/>
    <w:p w14:paraId="3CFF3CE6" w14:textId="6C8F1912" w:rsidR="00B1704F" w:rsidRPr="00B1704F" w:rsidRDefault="00B1704F" w:rsidP="00B1704F"/>
    <w:p w14:paraId="1580C5D8" w14:textId="29CB3608" w:rsidR="00B1704F" w:rsidRPr="00B1704F" w:rsidRDefault="00B1704F" w:rsidP="00B1704F"/>
    <w:p w14:paraId="3C3B89CB" w14:textId="528AFE3E" w:rsidR="00B1704F" w:rsidRPr="00B1704F" w:rsidRDefault="00B1704F" w:rsidP="00B1704F"/>
    <w:p w14:paraId="5B6A54C2" w14:textId="40AC1EB3" w:rsidR="00B1704F" w:rsidRPr="00B1704F" w:rsidRDefault="00B1704F" w:rsidP="00B1704F"/>
    <w:p w14:paraId="278AA631" w14:textId="494E663A" w:rsidR="00B1704F" w:rsidRDefault="00B1704F" w:rsidP="00B1704F">
      <w:pPr>
        <w:rPr>
          <w:noProof/>
        </w:rPr>
      </w:pPr>
    </w:p>
    <w:p w14:paraId="2F3A95A5" w14:textId="0E8D7E6A" w:rsidR="00B1704F" w:rsidRPr="00B1704F" w:rsidRDefault="00EC2ECF" w:rsidP="00B1704F">
      <w:pPr>
        <w:tabs>
          <w:tab w:val="left" w:pos="3240"/>
        </w:tabs>
      </w:pPr>
      <w:r>
        <w:rPr>
          <w:noProof/>
        </w:rPr>
        <w:drawing>
          <wp:anchor distT="0" distB="0" distL="114300" distR="114300" simplePos="0" relativeHeight="252042240" behindDoc="0" locked="0" layoutInCell="1" allowOverlap="1" wp14:anchorId="281D8755" wp14:editId="2F33808F">
            <wp:simplePos x="0" y="0"/>
            <wp:positionH relativeFrom="column">
              <wp:posOffset>3114675</wp:posOffset>
            </wp:positionH>
            <wp:positionV relativeFrom="paragraph">
              <wp:posOffset>2157729</wp:posOffset>
            </wp:positionV>
            <wp:extent cx="2044065" cy="6280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logos\Archive\LSAY - Dept of Education\JPG\Dept Education_Inline.jpg"/>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054070" cy="631139"/>
                    </a:xfrm>
                    <a:prstGeom prst="rect">
                      <a:avLst/>
                    </a:prstGeom>
                    <a:noFill/>
                    <a:ln>
                      <a:noFill/>
                    </a:ln>
                  </pic:spPr>
                </pic:pic>
              </a:graphicData>
            </a:graphic>
            <wp14:sizeRelH relativeFrom="page">
              <wp14:pctWidth>0</wp14:pctWidth>
            </wp14:sizeRelH>
            <wp14:sizeRelV relativeFrom="page">
              <wp14:pctHeight>0</wp14:pctHeight>
            </wp14:sizeRelV>
          </wp:anchor>
        </w:drawing>
      </w:r>
      <w:r w:rsidR="00E776D2" w:rsidRPr="00246BBF">
        <w:rPr>
          <w:noProof/>
          <w:lang w:eastAsia="en-AU"/>
        </w:rPr>
        <w:drawing>
          <wp:anchor distT="0" distB="0" distL="114300" distR="114300" simplePos="0" relativeHeight="251905024" behindDoc="0" locked="0" layoutInCell="1" allowOverlap="1" wp14:anchorId="4B9C313A" wp14:editId="551475AD">
            <wp:simplePos x="0" y="0"/>
            <wp:positionH relativeFrom="column">
              <wp:posOffset>1640840</wp:posOffset>
            </wp:positionH>
            <wp:positionV relativeFrom="paragraph">
              <wp:posOffset>4845050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E776D2" w:rsidRPr="00246BBF">
        <w:rPr>
          <w:noProof/>
          <w:lang w:eastAsia="en-AU"/>
        </w:rPr>
        <w:drawing>
          <wp:anchor distT="0" distB="0" distL="114300" distR="114300" simplePos="0" relativeHeight="251907072" behindDoc="0" locked="0" layoutInCell="1" allowOverlap="1" wp14:anchorId="5FE147BD" wp14:editId="6AF85CFE">
            <wp:simplePos x="0" y="0"/>
            <wp:positionH relativeFrom="column">
              <wp:posOffset>3081020</wp:posOffset>
            </wp:positionH>
            <wp:positionV relativeFrom="paragraph">
              <wp:posOffset>4841875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6"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E776D2" w:rsidRPr="009F3844">
        <w:rPr>
          <w:noProof/>
          <w:lang w:eastAsia="en-AU"/>
        </w:rPr>
        <mc:AlternateContent>
          <mc:Choice Requires="wps">
            <w:drawing>
              <wp:anchor distT="0" distB="0" distL="114300" distR="114300" simplePos="0" relativeHeight="251902976" behindDoc="0" locked="0" layoutInCell="1" allowOverlap="1" wp14:anchorId="2A044298" wp14:editId="03E7B431">
                <wp:simplePos x="0" y="0"/>
                <wp:positionH relativeFrom="column">
                  <wp:posOffset>167640</wp:posOffset>
                </wp:positionH>
                <wp:positionV relativeFrom="paragraph">
                  <wp:posOffset>3702685</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989EA" w14:textId="77777777" w:rsidR="00CE088E" w:rsidRPr="006E0B9E" w:rsidRDefault="00CE088E" w:rsidP="009F3844">
                            <w:pPr>
                              <w:jc w:val="right"/>
                              <w:rPr>
                                <w:rFonts w:ascii="Arial" w:hAnsi="Arial" w:cs="Arial"/>
                                <w:b/>
                              </w:rPr>
                            </w:pPr>
                            <w:r w:rsidRPr="006E0B9E">
                              <w:rPr>
                                <w:rFonts w:ascii="Arial" w:hAnsi="Arial" w:cs="Arial"/>
                                <w:b/>
                              </w:rPr>
                              <w:t>National Centre for Vocational Education Research</w:t>
                            </w:r>
                          </w:p>
                          <w:p w14:paraId="4AACB5EA" w14:textId="77777777" w:rsidR="00CE088E" w:rsidRPr="006E0B9E" w:rsidRDefault="00CE088E"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ECBBF07" w14:textId="77777777" w:rsidR="00CE088E" w:rsidRPr="006E0B9E" w:rsidRDefault="00CE088E"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72"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73" w:history="1">
                              <w:r w:rsidRPr="006300D6">
                                <w:rPr>
                                  <w:rStyle w:val="Hyperlink"/>
                                  <w:rFonts w:ascii="Arial" w:hAnsi="Arial" w:cs="Arial"/>
                                  <w:sz w:val="16"/>
                                  <w:szCs w:val="16"/>
                                </w:rPr>
                                <w:t>https://www.lsay.edu.au</w:t>
                              </w:r>
                            </w:hyperlink>
                            <w:r w:rsidRPr="006C271D">
                              <w:rPr>
                                <w:rFonts w:ascii="Arial" w:hAnsi="Arial" w:cs="Arial"/>
                                <w:szCs w:val="16"/>
                              </w:rPr>
                              <w:t>&gt;</w:t>
                            </w:r>
                          </w:p>
                          <w:p w14:paraId="496C5465" w14:textId="77777777" w:rsidR="00CE088E" w:rsidRPr="006E0B9E" w:rsidRDefault="00CE088E"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74"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5BEE9343" w14:textId="77777777" w:rsidR="00CE088E" w:rsidRPr="009F3844" w:rsidRDefault="00CE088E"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44298" id="Text Box 21" o:spid="_x0000_s1040" type="#_x0000_t202" style="position:absolute;margin-left:13.2pt;margin-top:291.55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R5gAIAAG0FAAAOAAAAZHJzL2Uyb0RvYy54bWysVE1PGzEQvVfqf7B8L5uEQGnEBqUgqkoI&#10;UEPF2fHaZFWvx7WdZNNf32fv5kO0F6pedsczb8bz8caXV21j2Fr5UJMt+fBkwJmykqravpT8+9Pt&#10;hwvOQhS2EoasKvlWBX41ff/ucuMmakRLMpXyDEFsmGxcyZcxuklRBLlUjQgn5JSFUZNvRMTRvxSV&#10;FxtEb0wxGgzOiw35ynmSKgRobzojn+b4WisZH7QOKjJTcuQW89fn7yJ9i+mlmLx44Za17NMQ/5BF&#10;I2qLS/ehbkQUbOXrP0I1tfQUSMcTSU1BWtdS5RpQzXDwqpr5UjiVa0Fzgtu3Kfy/sPJ+/ehZXZV8&#10;NOTMigYzelJtZJ+pZVChPxsXJoDNHYCxhR5z3ukDlKnsVvsm/VEQgx2d3u67m6JJKM+G49OzAUwS&#10;tuH56cUpDohfHNydD/GLooYloeQe48tdFeu7EDvoDpJus3RbG5NHaCzblPwcF2SHvQXBjU1YlcnQ&#10;h0kldalnKW6NShhjvymNZuQKkiLTUF0bz9YCBBJSKhtz8Tku0AmlkcRbHHv8Iau3OHd17G4mG/fO&#10;TW3J5+pfpV392KWsOzx6flR3EmO7aDMLhnkkSbWgaouJe+p2Jjh5W2MqdyLER+GxJJgkFj8+4KMN&#10;ofvUS5wtyf/6mz7hwV1YOdtg6Uoefq6EV5yZrxas/jQcj9OW5sP47OMIB39sWRxb7Kq5JowFxEV2&#10;WUz4aHai9tQ8432YpVthElbi7pLHnXgdu6cA74tUs1kGYS+diHd27mQKnaaUOPfUPgvvemJGcPqe&#10;duspJq/42WGTp6XZKpKuM3kPXe0HgJ3O9O/fn/RoHJ8z6vBKTn8DAAD//wMAUEsDBBQABgAIAAAA&#10;IQBNgVck4QAAAAoBAAAPAAAAZHJzL2Rvd25yZXYueG1sTI9NT4NAEIbvJv6HzZh4swv0IwRZmoak&#10;MTF6aO3F28BugcjOIrtt0V/v9GRv8/HknWfy9WR7cTaj7xwpiGcRCEO10x01Cg4f26cUhA9IGntH&#10;RsGP8bAu7u9yzLS70M6c96ERHEI+QwVtCEMmpa9bY9HP3GCId0c3Wgzcjo3UI1443PYyiaKVtNgR&#10;X2hxMGVr6q/9ySp4LbfvuKsSm/725cvbcTN8Hz6XSj0+TJtnEMFM4R+Gqz6rQ8FOlTuR9qJXkKwW&#10;TCpYpvMYBAPp/DqpuFjEMcgil7cvFH8AAAD//wMAUEsBAi0AFAAGAAgAAAAhALaDOJL+AAAA4QEA&#10;ABMAAAAAAAAAAAAAAAAAAAAAAFtDb250ZW50X1R5cGVzXS54bWxQSwECLQAUAAYACAAAACEAOP0h&#10;/9YAAACUAQAACwAAAAAAAAAAAAAAAAAvAQAAX3JlbHMvLnJlbHNQSwECLQAUAAYACAAAACEAs8Jk&#10;eYACAABtBQAADgAAAAAAAAAAAAAAAAAuAgAAZHJzL2Uyb0RvYy54bWxQSwECLQAUAAYACAAAACEA&#10;TYFXJOEAAAAKAQAADwAAAAAAAAAAAAAAAADaBAAAZHJzL2Rvd25yZXYueG1sUEsFBgAAAAAEAAQA&#10;8wAAAOgFAAAAAA==&#10;" filled="f" stroked="f" strokeweight=".5pt">
                <v:textbox>
                  <w:txbxContent>
                    <w:p w14:paraId="4D7989EA" w14:textId="77777777" w:rsidR="00CE088E" w:rsidRPr="006E0B9E" w:rsidRDefault="00CE088E" w:rsidP="009F3844">
                      <w:pPr>
                        <w:jc w:val="right"/>
                        <w:rPr>
                          <w:rFonts w:ascii="Arial" w:hAnsi="Arial" w:cs="Arial"/>
                          <w:b/>
                        </w:rPr>
                      </w:pPr>
                      <w:r w:rsidRPr="006E0B9E">
                        <w:rPr>
                          <w:rFonts w:ascii="Arial" w:hAnsi="Arial" w:cs="Arial"/>
                          <w:b/>
                        </w:rPr>
                        <w:t>National Centre for Vocational Education Research</w:t>
                      </w:r>
                    </w:p>
                    <w:p w14:paraId="4AACB5EA" w14:textId="77777777" w:rsidR="00CE088E" w:rsidRPr="006E0B9E" w:rsidRDefault="00CE088E"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ECBBF07" w14:textId="77777777" w:rsidR="00CE088E" w:rsidRPr="006E0B9E" w:rsidRDefault="00CE088E"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75"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76" w:history="1">
                        <w:r w:rsidRPr="006300D6">
                          <w:rPr>
                            <w:rStyle w:val="Hyperlink"/>
                            <w:rFonts w:ascii="Arial" w:hAnsi="Arial" w:cs="Arial"/>
                            <w:sz w:val="16"/>
                            <w:szCs w:val="16"/>
                          </w:rPr>
                          <w:t>https://www.lsay.edu.au</w:t>
                        </w:r>
                      </w:hyperlink>
                      <w:r w:rsidRPr="006C271D">
                        <w:rPr>
                          <w:rFonts w:ascii="Arial" w:hAnsi="Arial" w:cs="Arial"/>
                          <w:szCs w:val="16"/>
                        </w:rPr>
                        <w:t>&gt;</w:t>
                      </w:r>
                    </w:p>
                    <w:p w14:paraId="496C5465" w14:textId="77777777" w:rsidR="00CE088E" w:rsidRPr="006E0B9E" w:rsidRDefault="00CE088E"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77"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5BEE9343" w14:textId="77777777" w:rsidR="00CE088E" w:rsidRPr="009F3844" w:rsidRDefault="00CE088E" w:rsidP="009F3844">
                      <w:pPr>
                        <w:rPr>
                          <w:rFonts w:ascii="Arial" w:hAnsi="Arial" w:cs="Arial"/>
                          <w:sz w:val="16"/>
                          <w:szCs w:val="16"/>
                        </w:rPr>
                      </w:pPr>
                    </w:p>
                  </w:txbxContent>
                </v:textbox>
              </v:shape>
            </w:pict>
          </mc:Fallback>
        </mc:AlternateContent>
      </w:r>
      <w:r w:rsidR="00E776D2">
        <w:rPr>
          <w:noProof/>
        </w:rPr>
        <w:drawing>
          <wp:anchor distT="0" distB="0" distL="114300" distR="114300" simplePos="0" relativeHeight="252041216" behindDoc="0" locked="0" layoutInCell="1" allowOverlap="1" wp14:anchorId="78EA8CD8" wp14:editId="653752B1">
            <wp:simplePos x="0" y="0"/>
            <wp:positionH relativeFrom="column">
              <wp:posOffset>3150235</wp:posOffset>
            </wp:positionH>
            <wp:positionV relativeFrom="paragraph">
              <wp:posOffset>3197225</wp:posOffset>
            </wp:positionV>
            <wp:extent cx="2005965" cy="428625"/>
            <wp:effectExtent l="0" t="0" r="0" b="9525"/>
            <wp:wrapNone/>
            <wp:docPr id="1" name="Picture 1" descr="P:\PublicationComponents\logos\NCVER LOGOS\Print\NCVER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Print\NCVER_MONO.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0596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6D2">
        <w:rPr>
          <w:noProof/>
        </w:rPr>
        <w:drawing>
          <wp:anchor distT="0" distB="0" distL="114300" distR="114300" simplePos="0" relativeHeight="252043264" behindDoc="0" locked="0" layoutInCell="1" allowOverlap="1" wp14:anchorId="57CED164" wp14:editId="533D8B10">
            <wp:simplePos x="0" y="0"/>
            <wp:positionH relativeFrom="column">
              <wp:posOffset>3150073</wp:posOffset>
            </wp:positionH>
            <wp:positionV relativeFrom="paragraph">
              <wp:posOffset>1050290</wp:posOffset>
            </wp:positionV>
            <wp:extent cx="1980565" cy="665480"/>
            <wp:effectExtent l="0" t="0" r="635" b="1270"/>
            <wp:wrapNone/>
            <wp:docPr id="5" name="Picture 5" descr="P:\PublicationComponents\logos\LSAY\NCVER_DMS-#59082-v2-LSAY_logo_B&amp;W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LSAY\NCVER_DMS-#59082-v2-LSAY_logo_B&amp;W_jpe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056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1704F">
        <w:tab/>
      </w:r>
      <w:bookmarkEnd w:id="4"/>
    </w:p>
    <w:sectPr w:rsidR="00B1704F" w:rsidRPr="00B1704F" w:rsidSect="00930671">
      <w:footerReference w:type="even" r:id="rId79"/>
      <w:footerReference w:type="default" r:id="rId80"/>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A61335" w14:textId="77777777" w:rsidR="00CE088E" w:rsidRDefault="00CE088E">
      <w:r>
        <w:separator/>
      </w:r>
    </w:p>
    <w:p w14:paraId="4C3BA5BB" w14:textId="77777777" w:rsidR="00CE088E" w:rsidRDefault="00CE088E"/>
  </w:endnote>
  <w:endnote w:type="continuationSeparator" w:id="0">
    <w:p w14:paraId="07B4D9C3" w14:textId="77777777" w:rsidR="00CE088E" w:rsidRDefault="00CE088E">
      <w:r>
        <w:continuationSeparator/>
      </w:r>
    </w:p>
    <w:p w14:paraId="4012C49D" w14:textId="77777777" w:rsidR="00CE088E" w:rsidRDefault="00CE088E"/>
  </w:endnote>
  <w:endnote w:type="continuationNotice" w:id="1">
    <w:p w14:paraId="01C9BB44" w14:textId="77777777" w:rsidR="00CE088E" w:rsidRDefault="00CE088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racticeBook">
    <w:altName w:val="MS Mincho"/>
    <w:panose1 w:val="00000000000000000000"/>
    <w:charset w:val="80"/>
    <w:family w:val="roman"/>
    <w:notTrueType/>
    <w:pitch w:val="default"/>
    <w:sig w:usb0="00000000" w:usb1="08070000" w:usb2="00000010" w:usb3="00000000" w:csb0="00020000" w:csb1="00000000"/>
  </w:font>
  <w:font w:name="PNABO N+ MTSY">
    <w:altName w:val="Malgun Gothic"/>
    <w:panose1 w:val="00000000000000000000"/>
    <w:charset w:val="81"/>
    <w:family w:val="swiss"/>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326C6" w14:textId="77777777" w:rsidR="00CE088E" w:rsidRPr="00E333AC" w:rsidRDefault="00CE088E" w:rsidP="00E333A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39C21" w14:textId="77777777" w:rsidR="00CE088E" w:rsidRPr="009F3844" w:rsidRDefault="00CE088E" w:rsidP="009F384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9861F" w14:textId="77777777" w:rsidR="00CE088E" w:rsidRPr="009F3844" w:rsidRDefault="00CE088E" w:rsidP="009F3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66A95" w14:textId="1928BD6B" w:rsidR="00CE088E" w:rsidRPr="00606061" w:rsidRDefault="00CE088E" w:rsidP="00AE31AE">
    <w:pPr>
      <w:pStyle w:val="Footer"/>
      <w:tabs>
        <w:tab w:val="clear" w:pos="7655"/>
        <w:tab w:val="right" w:pos="9781"/>
      </w:tabs>
      <w:jc w:val="right"/>
      <w:rPr>
        <w:color w:val="000000" w:themeColor="text1"/>
      </w:rPr>
    </w:pPr>
    <w:r w:rsidRPr="00606061">
      <w:rPr>
        <w:color w:val="000000" w:themeColor="text1"/>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E3FFC" w14:textId="7D3B435C" w:rsidR="00CE088E" w:rsidRPr="00E612BF" w:rsidRDefault="00CE088E" w:rsidP="00E612BF">
    <w:pPr>
      <w:pStyle w:val="Footer"/>
      <w:tabs>
        <w:tab w:val="clear" w:pos="7655"/>
        <w:tab w:val="right" w:pos="8789"/>
      </w:tabs>
      <w:ind w:left="6379" w:hanging="8222"/>
      <w:jc w:val="both"/>
      <w:rPr>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b w:val="0"/>
        <w:color w:val="000000" w:themeColor="text1"/>
      </w:rPr>
      <w:t>16</w:t>
    </w:r>
    <w:r w:rsidRPr="00606061">
      <w:rPr>
        <w:b w:val="0"/>
        <w:color w:val="000000" w:themeColor="text1"/>
      </w:rPr>
      <w:fldChar w:fldCharType="end"/>
    </w:r>
    <w:r>
      <w:rPr>
        <w:b w:val="0"/>
        <w:color w:val="000000" w:themeColor="text1"/>
      </w:rPr>
      <w:tab/>
    </w:r>
    <w:r>
      <w:rPr>
        <w:color w:val="000000" w:themeColor="text1"/>
      </w:rPr>
      <w:t>25 Years of LSAY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745A8" w14:textId="4073C429" w:rsidR="00CE088E" w:rsidRPr="00E612BF" w:rsidRDefault="00CE088E" w:rsidP="00E612BF">
    <w:pPr>
      <w:pStyle w:val="Footer"/>
      <w:tabs>
        <w:tab w:val="clear" w:pos="7655"/>
        <w:tab w:val="right" w:pos="9923"/>
      </w:tabs>
      <w:ind w:right="-1986"/>
      <w:rPr>
        <w:b w:val="0"/>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13</w:t>
    </w:r>
    <w:r w:rsidRPr="00513938">
      <w:rPr>
        <w:rStyle w:val="PageNumber"/>
        <w:rFonts w:ascii="Arial" w:hAnsi="Arial"/>
        <w:b w:val="0"/>
        <w:color w:val="000000" w:themeColor="text1"/>
        <w:sz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5C9BB" w14:textId="3CCDE52F" w:rsidR="00CE088E" w:rsidRDefault="00CE088E" w:rsidP="00E612BF">
    <w:pPr>
      <w:pStyle w:val="Footer"/>
      <w:tabs>
        <w:tab w:val="clear" w:pos="7655"/>
        <w:tab w:val="right" w:pos="8789"/>
      </w:tabs>
      <w:ind w:left="6379" w:hanging="8222"/>
      <w:jc w:val="both"/>
      <w:rPr>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b w:val="0"/>
        <w:color w:val="000000" w:themeColor="text1"/>
      </w:rPr>
      <w:t>16</w:t>
    </w:r>
    <w:r w:rsidRPr="00606061">
      <w:rPr>
        <w:b w:val="0"/>
        <w:color w:val="000000" w:themeColor="text1"/>
      </w:rPr>
      <w:fldChar w:fldCharType="end"/>
    </w:r>
    <w:r>
      <w:rPr>
        <w:b w:val="0"/>
        <w:color w:val="000000" w:themeColor="text1"/>
      </w:rPr>
      <w:tab/>
    </w:r>
    <w:r>
      <w:rPr>
        <w:color w:val="000000" w:themeColor="text1"/>
      </w:rPr>
      <w:t>25 Years of LSAY</w:t>
    </w:r>
  </w:p>
  <w:p w14:paraId="78B26533" w14:textId="6EE14FF5" w:rsidR="00CE088E" w:rsidRDefault="00CE088E" w:rsidP="00E612BF">
    <w:pPr>
      <w:pStyle w:val="Footer"/>
      <w:tabs>
        <w:tab w:val="clear" w:pos="7655"/>
        <w:tab w:val="right" w:pos="8789"/>
      </w:tabs>
      <w:ind w:left="6379" w:hanging="8222"/>
      <w:jc w:val="both"/>
      <w:rPr>
        <w:color w:val="000000" w:themeColor="text1"/>
      </w:rPr>
    </w:pPr>
  </w:p>
  <w:p w14:paraId="54C562B6" w14:textId="77777777" w:rsidR="00CE088E" w:rsidRPr="00E612BF" w:rsidRDefault="00CE088E" w:rsidP="00E612BF">
    <w:pPr>
      <w:pStyle w:val="Footer"/>
      <w:tabs>
        <w:tab w:val="clear" w:pos="7655"/>
        <w:tab w:val="right" w:pos="8789"/>
      </w:tabs>
      <w:ind w:left="6379" w:hanging="8222"/>
      <w:jc w:val="both"/>
      <w:rPr>
        <w:color w:val="000000" w:themeColor="text1"/>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14582" w14:textId="39646312" w:rsidR="00CE088E" w:rsidRDefault="00CE088E" w:rsidP="00E612BF">
    <w:pPr>
      <w:pStyle w:val="Footer"/>
      <w:tabs>
        <w:tab w:val="clear" w:pos="7655"/>
        <w:tab w:val="right" w:pos="9923"/>
      </w:tabs>
      <w:ind w:right="-1986"/>
      <w:rPr>
        <w:rStyle w:val="PageNumber"/>
        <w:rFonts w:ascii="Arial" w:hAnsi="Arial"/>
        <w:b w:val="0"/>
        <w:color w:val="000000" w:themeColor="text1"/>
        <w:sz w:val="17"/>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13</w:t>
    </w:r>
    <w:r w:rsidRPr="00513938">
      <w:rPr>
        <w:rStyle w:val="PageNumber"/>
        <w:rFonts w:ascii="Arial" w:hAnsi="Arial"/>
        <w:b w:val="0"/>
        <w:color w:val="000000" w:themeColor="text1"/>
        <w:sz w:val="17"/>
      </w:rPr>
      <w:fldChar w:fldCharType="end"/>
    </w:r>
  </w:p>
  <w:p w14:paraId="5B397105" w14:textId="45B1B198" w:rsidR="00CE088E" w:rsidRDefault="00CE088E" w:rsidP="00E612BF">
    <w:pPr>
      <w:pStyle w:val="Footer"/>
      <w:tabs>
        <w:tab w:val="clear" w:pos="7655"/>
        <w:tab w:val="right" w:pos="9923"/>
      </w:tabs>
      <w:ind w:right="-1986"/>
      <w:rPr>
        <w:rStyle w:val="PageNumber"/>
        <w:rFonts w:ascii="Arial" w:hAnsi="Arial"/>
        <w:b w:val="0"/>
        <w:color w:val="000000" w:themeColor="text1"/>
        <w:sz w:val="17"/>
      </w:rPr>
    </w:pPr>
  </w:p>
  <w:p w14:paraId="4CF6F9D2" w14:textId="77777777" w:rsidR="00CE088E" w:rsidRPr="00E612BF" w:rsidRDefault="00CE088E" w:rsidP="00E612BF">
    <w:pPr>
      <w:pStyle w:val="Footer"/>
      <w:tabs>
        <w:tab w:val="clear" w:pos="7655"/>
        <w:tab w:val="right" w:pos="9923"/>
      </w:tabs>
      <w:ind w:right="-1986"/>
      <w:rPr>
        <w:b w:val="0"/>
        <w:color w:val="000000" w:themeColor="text1"/>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124EB" w14:textId="1E8E95FA" w:rsidR="00CE088E" w:rsidRPr="00E612BF" w:rsidRDefault="00CE088E" w:rsidP="0010685D">
    <w:pPr>
      <w:pStyle w:val="Footer"/>
      <w:tabs>
        <w:tab w:val="clear" w:pos="7655"/>
        <w:tab w:val="right" w:pos="8789"/>
      </w:tabs>
      <w:ind w:left="6379" w:hanging="8222"/>
      <w:jc w:val="both"/>
      <w:rPr>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b w:val="0"/>
        <w:color w:val="000000" w:themeColor="text1"/>
      </w:rPr>
      <w:t>16</w:t>
    </w:r>
    <w:r w:rsidRPr="00606061">
      <w:rPr>
        <w:b w:val="0"/>
        <w:color w:val="000000" w:themeColor="text1"/>
      </w:rPr>
      <w:fldChar w:fldCharType="end"/>
    </w:r>
    <w:r>
      <w:rPr>
        <w:b w:val="0"/>
        <w:color w:val="000000" w:themeColor="text1"/>
      </w:rPr>
      <w:tab/>
    </w:r>
    <w:r>
      <w:rPr>
        <w:color w:val="000000" w:themeColor="text1"/>
      </w:rPr>
      <w:t>25 Years of LSAY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9A8B8" w14:textId="6C9A8FBB" w:rsidR="00CE088E" w:rsidRPr="00E612BF" w:rsidRDefault="00CE088E" w:rsidP="00E612BF">
    <w:pPr>
      <w:pStyle w:val="Footer"/>
      <w:tabs>
        <w:tab w:val="clear" w:pos="7655"/>
        <w:tab w:val="right" w:pos="9923"/>
      </w:tabs>
      <w:ind w:right="-1986"/>
      <w:rPr>
        <w:b w:val="0"/>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13</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1D06D" w14:textId="6855B312" w:rsidR="00CE088E" w:rsidRPr="00E612BF" w:rsidRDefault="00CE088E" w:rsidP="00E612BF">
    <w:pPr>
      <w:pStyle w:val="Footer"/>
      <w:tabs>
        <w:tab w:val="clear" w:pos="7655"/>
        <w:tab w:val="right" w:pos="9923"/>
      </w:tabs>
      <w:ind w:right="-1986"/>
      <w:rPr>
        <w:b w:val="0"/>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13</w:t>
    </w:r>
    <w:r w:rsidRPr="00513938">
      <w:rPr>
        <w:rStyle w:val="PageNumber"/>
        <w:rFonts w:ascii="Arial" w:hAnsi="Arial"/>
        <w:b w:val="0"/>
        <w:color w:val="000000" w:themeColor="text1"/>
        <w:sz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FD3AB" w14:textId="77777777" w:rsidR="00CE088E" w:rsidRDefault="00CE088E">
      <w:r>
        <w:separator/>
      </w:r>
    </w:p>
    <w:p w14:paraId="52C80490" w14:textId="77777777" w:rsidR="00CE088E" w:rsidRDefault="00CE088E"/>
  </w:footnote>
  <w:footnote w:type="continuationSeparator" w:id="0">
    <w:p w14:paraId="38974776" w14:textId="77777777" w:rsidR="00CE088E" w:rsidRDefault="00CE088E">
      <w:r>
        <w:continuationSeparator/>
      </w:r>
    </w:p>
    <w:p w14:paraId="1E9D538F" w14:textId="77777777" w:rsidR="00CE088E" w:rsidRDefault="00CE088E"/>
  </w:footnote>
  <w:footnote w:type="continuationNotice" w:id="1">
    <w:p w14:paraId="35FDE8F0" w14:textId="77777777" w:rsidR="00CE088E" w:rsidRDefault="00CE088E">
      <w:pPr>
        <w:spacing w:before="0" w:line="240" w:lineRule="auto"/>
      </w:pPr>
    </w:p>
  </w:footnote>
  <w:footnote w:id="2">
    <w:p w14:paraId="27300B95" w14:textId="0D59BC8F" w:rsidR="00CE088E" w:rsidRPr="00E30EDF" w:rsidRDefault="00CE088E" w:rsidP="00A60832">
      <w:pPr>
        <w:pStyle w:val="FootnoteText"/>
        <w:ind w:left="284" w:hanging="284"/>
      </w:pPr>
      <w:r w:rsidRPr="00C62880">
        <w:rPr>
          <w:rStyle w:val="FootnoteReference"/>
          <w:rFonts w:ascii="Trebuchet MS" w:hAnsi="Trebuchet MS"/>
        </w:rPr>
        <w:footnoteRef/>
      </w:r>
      <w:r>
        <w:t xml:space="preserve"> </w:t>
      </w:r>
      <w:r>
        <w:tab/>
      </w:r>
      <w:r>
        <w:rPr>
          <w:lang w:val="en-US"/>
        </w:rPr>
        <w:t>These results were in the form of an odds ratio, which compare the probability of two events occurring. An odds ratio of 4 means that one event occurs four times as frequently as the other, irrespective of whether that is 40% of the time versus 10% of the time, or 0.04% of the time versus 0.01% of the time.</w:t>
      </w:r>
    </w:p>
  </w:footnote>
  <w:footnote w:id="3">
    <w:p w14:paraId="712EC1CE" w14:textId="3C17D73D" w:rsidR="00CE088E" w:rsidRDefault="00CE088E" w:rsidP="007E35B7">
      <w:pPr>
        <w:pStyle w:val="FootnoteText"/>
        <w:ind w:left="284" w:hanging="284"/>
      </w:pPr>
      <w:r w:rsidRPr="00732FB8">
        <w:rPr>
          <w:rStyle w:val="FootnoteReference"/>
          <w:rFonts w:ascii="Trebuchet MS" w:hAnsi="Trebuchet MS"/>
        </w:rPr>
        <w:footnoteRef/>
      </w:r>
      <w:r w:rsidRPr="00732FB8">
        <w:t xml:space="preserve"> </w:t>
      </w:r>
      <w:r>
        <w:t xml:space="preserve"> </w:t>
      </w:r>
      <w:r>
        <w:tab/>
      </w:r>
      <w:r w:rsidRPr="00732FB8">
        <w:t>The higher education data are not disaggregated by age. The domestic undergraduate enrolments are of students of all age groups. Although dominated by people aged less than 25 years, there is a substantial number of older students. In 2016, 78% of domestic undergraduate students were &lt;25 years old, the remaining 22% being 25 or older.</w:t>
      </w:r>
    </w:p>
    <w:p w14:paraId="79A92416" w14:textId="77777777" w:rsidR="00CE088E" w:rsidRPr="00732FB8" w:rsidRDefault="00CE088E" w:rsidP="00A23206">
      <w:pPr>
        <w:pStyle w:val="FootnoteText"/>
      </w:pPr>
    </w:p>
  </w:footnote>
  <w:footnote w:id="4">
    <w:p w14:paraId="731746D5" w14:textId="1AC365D8" w:rsidR="00CE088E" w:rsidRDefault="00CE088E" w:rsidP="00EF7C7A">
      <w:pPr>
        <w:pStyle w:val="FootnoteText"/>
        <w:spacing w:after="60"/>
        <w:ind w:left="284" w:hanging="284"/>
      </w:pPr>
      <w:r w:rsidRPr="00E0302A">
        <w:rPr>
          <w:rStyle w:val="FootnoteReference"/>
          <w:rFonts w:ascii="Trebuchet MS" w:hAnsi="Trebuchet MS"/>
        </w:rPr>
        <w:footnoteRef/>
      </w:r>
      <w:r>
        <w:t xml:space="preserve"> </w:t>
      </w:r>
      <w:r>
        <w:tab/>
        <w:t>Except for courses below International Standard Classification of Education (ISCED) level 2C.</w:t>
      </w:r>
    </w:p>
  </w:footnote>
  <w:footnote w:id="5">
    <w:p w14:paraId="5F055FCC" w14:textId="5526D65A" w:rsidR="00CE088E" w:rsidRDefault="00CE088E" w:rsidP="00EF7C7A">
      <w:pPr>
        <w:pStyle w:val="FootnoteText"/>
        <w:spacing w:after="60"/>
        <w:ind w:left="284" w:hanging="284"/>
      </w:pPr>
      <w:r w:rsidRPr="00E0302A">
        <w:rPr>
          <w:rStyle w:val="FootnoteReference"/>
          <w:rFonts w:ascii="Trebuchet MS" w:hAnsi="Trebuchet MS"/>
        </w:rPr>
        <w:footnoteRef/>
      </w:r>
      <w:r>
        <w:t xml:space="preserve"> </w:t>
      </w:r>
      <w:r>
        <w:tab/>
        <w:t>There are some programs for which there is no nationally endorsed training package. In these cases, the course must be endorsed by the relevant state board of curriculum.</w:t>
      </w:r>
    </w:p>
  </w:footnote>
  <w:footnote w:id="6">
    <w:p w14:paraId="6C391037" w14:textId="4DFA0E17" w:rsidR="00CE088E" w:rsidRDefault="00CE088E" w:rsidP="00EF7C7A">
      <w:pPr>
        <w:pStyle w:val="FootnoteText"/>
        <w:spacing w:after="60"/>
        <w:ind w:left="284" w:hanging="284"/>
      </w:pPr>
      <w:r w:rsidRPr="00E0302A">
        <w:rPr>
          <w:rStyle w:val="FootnoteReference"/>
          <w:rFonts w:ascii="Trebuchet MS" w:hAnsi="Trebuchet MS"/>
        </w:rPr>
        <w:footnoteRef/>
      </w:r>
      <w:r w:rsidRPr="00DB54A1">
        <w:t xml:space="preserve"> </w:t>
      </w:r>
      <w:r>
        <w:tab/>
        <w:t>An estimate generated by the authors using data from the 2003 and 2006 cohorts of the Longitudinal Surveys of Australian Youth (LSAY).</w:t>
      </w:r>
    </w:p>
  </w:footnote>
  <w:footnote w:id="7">
    <w:p w14:paraId="642FF887" w14:textId="05302084" w:rsidR="00CE088E" w:rsidRDefault="00CE088E" w:rsidP="00EF7C7A">
      <w:pPr>
        <w:pStyle w:val="FootnoteText"/>
        <w:ind w:left="284" w:hanging="284"/>
      </w:pPr>
      <w:r w:rsidRPr="00E0302A">
        <w:rPr>
          <w:rStyle w:val="FootnoteReference"/>
          <w:rFonts w:ascii="Trebuchet MS" w:hAnsi="Trebuchet MS"/>
        </w:rPr>
        <w:footnoteRef/>
      </w:r>
      <w:r w:rsidRPr="006371EE">
        <w:t xml:space="preserve"> </w:t>
      </w:r>
      <w:r>
        <w:tab/>
        <w:t>Because only total hours in workplace learning is recorded in LSAY, for students who took more than one classroom-based VET subject in a given year and report doing some workplace learning, we do not know whether all of their subjects had a workplace learning component.</w:t>
      </w:r>
    </w:p>
    <w:p w14:paraId="225C2B64" w14:textId="77777777" w:rsidR="00CE088E" w:rsidRDefault="00CE088E" w:rsidP="00EF7C7A">
      <w:pPr>
        <w:pStyle w:val="FootnoteText"/>
        <w:ind w:left="284" w:hanging="284"/>
      </w:pPr>
    </w:p>
  </w:footnote>
  <w:footnote w:id="8">
    <w:p w14:paraId="53C27D6F" w14:textId="0FE07919" w:rsidR="00CE088E" w:rsidRPr="007A2225" w:rsidRDefault="00CE088E" w:rsidP="00D6399F">
      <w:pPr>
        <w:pStyle w:val="FootnoteText"/>
        <w:ind w:left="284" w:hanging="284"/>
        <w:rPr>
          <w:lang w:val="en-US"/>
        </w:rPr>
      </w:pPr>
      <w:r w:rsidRPr="00E0302A">
        <w:rPr>
          <w:rStyle w:val="FootnoteReference"/>
          <w:rFonts w:ascii="Trebuchet MS" w:hAnsi="Trebuchet MS"/>
        </w:rPr>
        <w:footnoteRef/>
      </w:r>
      <w:r>
        <w:t xml:space="preserve"> </w:t>
      </w:r>
      <w:r>
        <w:tab/>
      </w:r>
      <w:r>
        <w:rPr>
          <w:lang w:val="en-US"/>
        </w:rPr>
        <w:t>Students from low socioeconomic backgrounds are those whose families are within the lowest quartile of the PISA index of Economic, Social and Cultural Status, while those students from higher socioeconomic backgrounds are those whose families are within the three highest quartiles of this index.</w:t>
      </w:r>
    </w:p>
  </w:footnote>
  <w:footnote w:id="9">
    <w:p w14:paraId="60DFD4B7" w14:textId="31927306" w:rsidR="00CE088E" w:rsidRDefault="00CE088E" w:rsidP="00D6399F">
      <w:pPr>
        <w:pStyle w:val="FootnoteText"/>
        <w:ind w:left="284" w:hanging="284"/>
      </w:pPr>
      <w:r w:rsidRPr="00E5118E">
        <w:rPr>
          <w:rStyle w:val="FootnoteReference"/>
          <w:rFonts w:ascii="Trebuchet MS" w:hAnsi="Trebuchet MS"/>
        </w:rPr>
        <w:footnoteRef/>
      </w:r>
      <w:r>
        <w:t xml:space="preserve"> </w:t>
      </w:r>
      <w:r>
        <w:tab/>
      </w:r>
      <w:r>
        <w:rPr>
          <w:lang w:val="en-US"/>
        </w:rPr>
        <w:t>This graph shows university enrolment rates at age 19 years. School experiences and student−teacher relationships were measured at age 15 years. Career advice indicators refer to whether a student has ever received that sort of advice while at school.</w:t>
      </w:r>
    </w:p>
    <w:p w14:paraId="3BA6BF78" w14:textId="784E697B" w:rsidR="00CE088E" w:rsidRPr="000D2278" w:rsidRDefault="00CE088E">
      <w:pPr>
        <w:pStyle w:val="FootnoteText"/>
        <w:rPr>
          <w:lang w:val="en-US"/>
        </w:rPr>
      </w:pPr>
    </w:p>
  </w:footnote>
  <w:footnote w:id="10">
    <w:p w14:paraId="3BD2D8B0" w14:textId="2BB902B3" w:rsidR="00CE088E" w:rsidRPr="00D12EF8" w:rsidRDefault="00CE088E" w:rsidP="00D6399F">
      <w:pPr>
        <w:pStyle w:val="FootnoteText"/>
        <w:ind w:left="284" w:hanging="284"/>
      </w:pPr>
      <w:r w:rsidRPr="00821D53">
        <w:rPr>
          <w:rStyle w:val="FootnoteReference"/>
          <w:rFonts w:ascii="Trebuchet MS" w:hAnsi="Trebuchet MS"/>
        </w:rPr>
        <w:footnoteRef/>
      </w:r>
      <w:r w:rsidRPr="00821D53">
        <w:t xml:space="preserve"> </w:t>
      </w:r>
      <w:r w:rsidRPr="00821D53">
        <w:tab/>
      </w:r>
      <w:r w:rsidRPr="00D12EF8">
        <w:t>The research was supported by a PhD top-up scholarship provided by NCVER through the National VET Research program, on behalf of the Australian Government Department of Education and Training. The views and opinions in this chapter are those of the author and do not necessarily reflect the views of the Australian Government, state and territory governments or NCVER.</w:t>
      </w:r>
    </w:p>
    <w:p w14:paraId="74C34703" w14:textId="40B64A63" w:rsidR="00CE088E" w:rsidRPr="005721B9" w:rsidRDefault="00CE088E">
      <w:pPr>
        <w:pStyle w:val="FootnoteText"/>
        <w:rPr>
          <w:lang w:val="en-US"/>
        </w:rPr>
      </w:pPr>
    </w:p>
  </w:footnote>
  <w:footnote w:id="11">
    <w:p w14:paraId="0D236988" w14:textId="2698386F" w:rsidR="00CE088E" w:rsidRPr="00680561" w:rsidRDefault="00CE088E" w:rsidP="00680561">
      <w:pPr>
        <w:pStyle w:val="FootnoteText"/>
        <w:spacing w:after="80"/>
        <w:ind w:left="284" w:hanging="284"/>
      </w:pPr>
      <w:r w:rsidRPr="00680561">
        <w:rPr>
          <w:rStyle w:val="FootnoteReference"/>
          <w:rFonts w:ascii="Trebuchet MS" w:hAnsi="Trebuchet MS"/>
        </w:rPr>
        <w:footnoteRef/>
      </w:r>
      <w:r w:rsidRPr="00680561">
        <w:t xml:space="preserve"> </w:t>
      </w:r>
      <w:r>
        <w:tab/>
      </w:r>
      <w:r w:rsidRPr="00680561">
        <w:t>August is selected because it coincides with the predominant LSAY survey period.</w:t>
      </w:r>
    </w:p>
  </w:footnote>
  <w:footnote w:id="12">
    <w:p w14:paraId="346318DB" w14:textId="38B9B5F8" w:rsidR="00CE088E" w:rsidRPr="00D12EF8" w:rsidRDefault="00CE088E" w:rsidP="00680561">
      <w:pPr>
        <w:pStyle w:val="FootnoteText"/>
        <w:spacing w:after="80"/>
        <w:ind w:left="284" w:hanging="284"/>
        <w:rPr>
          <w:lang w:val="en-US"/>
        </w:rPr>
      </w:pPr>
      <w:r w:rsidRPr="00680561">
        <w:rPr>
          <w:rStyle w:val="FootnoteReference"/>
          <w:rFonts w:ascii="Trebuchet MS" w:hAnsi="Trebuchet MS"/>
        </w:rPr>
        <w:footnoteRef/>
      </w:r>
      <w:r w:rsidRPr="00680561">
        <w:t xml:space="preserve"> </w:t>
      </w:r>
      <w:r>
        <w:tab/>
      </w:r>
      <w:r w:rsidRPr="00680561">
        <w:t>The</w:t>
      </w:r>
      <w:r w:rsidRPr="00680561">
        <w:rPr>
          <w:lang w:val="en-US"/>
        </w:rPr>
        <w:t xml:space="preserve"> LSAY sample reports a slightly higher proportion of part-time work than the ABS estimates, which can be explained by different survey methodologies.</w:t>
      </w:r>
    </w:p>
  </w:footnote>
  <w:footnote w:id="13">
    <w:p w14:paraId="22943264" w14:textId="703B388F" w:rsidR="00CE088E" w:rsidRDefault="00CE088E" w:rsidP="00680561">
      <w:pPr>
        <w:pStyle w:val="FootnoteText"/>
        <w:ind w:left="284" w:hanging="284"/>
      </w:pPr>
      <w:r w:rsidRPr="00831E94">
        <w:rPr>
          <w:rStyle w:val="FootnoteReference"/>
          <w:rFonts w:ascii="Trebuchet MS" w:hAnsi="Trebuchet MS"/>
        </w:rPr>
        <w:footnoteRef/>
      </w:r>
      <w:r w:rsidRPr="000D2A46">
        <w:t xml:space="preserve"> </w:t>
      </w:r>
      <w:r>
        <w:tab/>
        <w:t>The Y03 cohort has a Year 12 completion rate of 83%, which is significantly higher than the national average reported for 2007 by the ABS of around 75% (ABS 2008).</w:t>
      </w:r>
    </w:p>
  </w:footnote>
  <w:footnote w:id="14">
    <w:p w14:paraId="2A5DF1B5" w14:textId="4108C49E" w:rsidR="00CE088E" w:rsidRDefault="00CE088E" w:rsidP="00680561">
      <w:pPr>
        <w:pStyle w:val="FootnoteText"/>
        <w:ind w:left="284" w:hanging="284"/>
      </w:pPr>
      <w:r w:rsidRPr="00D667F1">
        <w:rPr>
          <w:rStyle w:val="FootnoteReference"/>
          <w:rFonts w:ascii="Trebuchet MS" w:hAnsi="Trebuchet MS"/>
        </w:rPr>
        <w:footnoteRef/>
      </w:r>
      <w:r w:rsidRPr="00951AD1">
        <w:t xml:space="preserve"> </w:t>
      </w:r>
      <w:r>
        <w:tab/>
        <w:t>The predicted probabilities are calculated based on the results of the regression at the average propensity score and for each level of working hours with the other hours set to zero.</w:t>
      </w:r>
    </w:p>
  </w:footnote>
  <w:footnote w:id="15">
    <w:p w14:paraId="710E7C40" w14:textId="30E3C71E" w:rsidR="00CE088E" w:rsidRDefault="00CE088E" w:rsidP="00D40137">
      <w:pPr>
        <w:pStyle w:val="FootnoteText"/>
        <w:ind w:left="284" w:hanging="284"/>
      </w:pPr>
      <w:r w:rsidRPr="00D667F1">
        <w:rPr>
          <w:rStyle w:val="FootnoteReference"/>
          <w:rFonts w:ascii="Trebuchet MS" w:hAnsi="Trebuchet MS"/>
        </w:rPr>
        <w:footnoteRef/>
      </w:r>
      <w:r>
        <w:t xml:space="preserve"> </w:t>
      </w:r>
      <w:r>
        <w:tab/>
        <w:t>It is possible for a student to complete Year 12 and not obtain a TER; however, we restrict the analysis to those with a TER score because the focus of our analysis is on the impact of combining school and work on TER score.</w:t>
      </w:r>
    </w:p>
  </w:footnote>
  <w:footnote w:id="16">
    <w:p w14:paraId="53C198BD" w14:textId="554C15AB" w:rsidR="00CE088E" w:rsidRDefault="00CE088E" w:rsidP="00D40137">
      <w:pPr>
        <w:pStyle w:val="FootnoteText"/>
        <w:ind w:left="284" w:hanging="284"/>
      </w:pPr>
      <w:r w:rsidRPr="00D667F1">
        <w:rPr>
          <w:rStyle w:val="FootnoteReference"/>
          <w:rFonts w:ascii="Trebuchet MS" w:hAnsi="Trebuchet MS"/>
        </w:rPr>
        <w:footnoteRef/>
      </w:r>
      <w:r>
        <w:t xml:space="preserve"> </w:t>
      </w:r>
      <w:r>
        <w:tab/>
        <w:t>The effect of combining school and work in Year 12 is only considered as this is the year most immediate to the post-school outcome.</w:t>
      </w:r>
    </w:p>
    <w:p w14:paraId="62E82945" w14:textId="77777777" w:rsidR="00CE088E" w:rsidRDefault="00CE088E" w:rsidP="00D40137">
      <w:pPr>
        <w:pStyle w:val="FootnoteText"/>
        <w:ind w:left="284" w:hanging="284"/>
      </w:pPr>
    </w:p>
  </w:footnote>
  <w:footnote w:id="17">
    <w:p w14:paraId="473F03EA" w14:textId="63FBC7EA" w:rsidR="00CE088E" w:rsidRDefault="00CE088E" w:rsidP="00D40137">
      <w:pPr>
        <w:pStyle w:val="FootnoteText"/>
        <w:ind w:left="284" w:hanging="284"/>
        <w:rPr>
          <w:lang w:val="en-US"/>
        </w:rPr>
      </w:pPr>
      <w:r w:rsidRPr="00D40137">
        <w:rPr>
          <w:rStyle w:val="FootnoteReference"/>
          <w:rFonts w:ascii="Trebuchet MS" w:hAnsi="Trebuchet MS"/>
        </w:rPr>
        <w:footnoteRef/>
      </w:r>
      <w:r w:rsidRPr="00D40137">
        <w:t xml:space="preserve"> </w:t>
      </w:r>
      <w:r>
        <w:tab/>
      </w:r>
      <w:r w:rsidRPr="00D40137">
        <w:rPr>
          <w:lang w:val="en-US"/>
        </w:rPr>
        <w:t xml:space="preserve">Cramér’s </w:t>
      </w:r>
      <w:r w:rsidRPr="00D40137">
        <w:rPr>
          <w:i/>
          <w:lang w:val="en-US"/>
        </w:rPr>
        <w:t>V</w:t>
      </w:r>
      <w:r w:rsidRPr="00D40137">
        <w:rPr>
          <w:lang w:val="en-US"/>
        </w:rPr>
        <w:t xml:space="preserve"> is a measure of effect size ranging from -1 to 1. It can broadly be interpreted in the same way as Pearson’s </w:t>
      </w:r>
      <w:r w:rsidRPr="00D40137">
        <w:rPr>
          <w:i/>
          <w:lang w:val="en-US"/>
        </w:rPr>
        <w:t>r</w:t>
      </w:r>
      <w:r w:rsidRPr="00D40137">
        <w:rPr>
          <w:lang w:val="en-US"/>
        </w:rPr>
        <w:t>: .1 is a small effect, .3 is a moderate effect, and .5 is a large effect.</w:t>
      </w:r>
    </w:p>
    <w:p w14:paraId="4D3158B0" w14:textId="77777777" w:rsidR="00CE088E" w:rsidRPr="00D40137" w:rsidRDefault="00CE088E" w:rsidP="00D40137">
      <w:pPr>
        <w:pStyle w:val="FootnoteText"/>
        <w:ind w:left="284" w:hanging="284"/>
        <w:rPr>
          <w:lang w:val="en-US"/>
        </w:rPr>
      </w:pPr>
    </w:p>
  </w:footnote>
  <w:footnote w:id="18">
    <w:p w14:paraId="594897D5" w14:textId="2C190D94" w:rsidR="00CE088E" w:rsidRPr="00BF7284" w:rsidRDefault="00CE088E" w:rsidP="00BF7284">
      <w:pPr>
        <w:pStyle w:val="FootnoteText"/>
        <w:ind w:left="284" w:hanging="284"/>
        <w:rPr>
          <w:lang w:val="en-US"/>
        </w:rPr>
      </w:pPr>
      <w:r w:rsidRPr="00BF7284">
        <w:rPr>
          <w:rStyle w:val="FootnoteReference"/>
          <w:rFonts w:ascii="Trebuchet MS" w:hAnsi="Trebuchet MS"/>
        </w:rPr>
        <w:footnoteRef/>
      </w:r>
      <w:r w:rsidRPr="00BF7284">
        <w:t xml:space="preserve"> </w:t>
      </w:r>
      <w:r>
        <w:tab/>
      </w:r>
      <w:r w:rsidRPr="00BF7284">
        <w:rPr>
          <w:lang w:val="en-US"/>
        </w:rPr>
        <w:t>For those who were engaged in multiple activities for a given month, the activity status was determined based on the following order: school, university, VET, employed full-time, employed part-time, unemployed and not in the labour force.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E4F94" w14:textId="77777777" w:rsidR="00CE088E" w:rsidRPr="00D66D9A" w:rsidRDefault="00CE088E" w:rsidP="00D66D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E6546" w14:textId="77777777" w:rsidR="00CE088E" w:rsidRPr="007A3945" w:rsidRDefault="00CE088E" w:rsidP="00D66D9A">
    <w:pP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53F6C99"/>
    <w:multiLevelType w:val="hybridMultilevel"/>
    <w:tmpl w:val="F98E8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5E64C0"/>
    <w:multiLevelType w:val="hybridMultilevel"/>
    <w:tmpl w:val="C97AC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D832C7"/>
    <w:multiLevelType w:val="multilevel"/>
    <w:tmpl w:val="D0F008C8"/>
    <w:lvl w:ilvl="0">
      <w:start w:val="1"/>
      <w:numFmt w:val="bullet"/>
      <w:lvlText w:val=""/>
      <w:lvlJc w:val="left"/>
      <w:pPr>
        <w:tabs>
          <w:tab w:val="num" w:pos="357"/>
        </w:tabs>
        <w:ind w:left="360" w:hanging="360"/>
      </w:pPr>
      <w:rPr>
        <w:rFonts w:ascii="Wingdings 2" w:hAnsi="Wingdings 2" w:hint="default"/>
      </w:rPr>
    </w:lvl>
    <w:lvl w:ilvl="1">
      <w:start w:val="1"/>
      <w:numFmt w:val="bullet"/>
      <w:lvlText w:val="‒"/>
      <w:lvlJc w:val="left"/>
      <w:pPr>
        <w:tabs>
          <w:tab w:val="num" w:pos="641"/>
        </w:tabs>
        <w:ind w:left="641" w:hanging="357"/>
      </w:pPr>
      <w:rPr>
        <w:rFonts w:ascii="Arial" w:hAnsi="Arial" w:hint="default"/>
      </w:rPr>
    </w:lvl>
    <w:lvl w:ilvl="2">
      <w:start w:val="1"/>
      <w:numFmt w:val="bullet"/>
      <w:lvlText w:val=""/>
      <w:lvlJc w:val="left"/>
      <w:pPr>
        <w:tabs>
          <w:tab w:val="num" w:pos="924"/>
        </w:tabs>
        <w:ind w:left="924" w:hanging="357"/>
      </w:pPr>
      <w:rPr>
        <w:rFonts w:ascii="Symbol" w:hAnsi="Symbol" w:hint="default"/>
        <w:color w:val="auto"/>
      </w:rPr>
    </w:lvl>
    <w:lvl w:ilvl="3">
      <w:start w:val="1"/>
      <w:numFmt w:val="bullet"/>
      <w:lvlText w:val=""/>
      <w:lvlJc w:val="left"/>
      <w:pPr>
        <w:tabs>
          <w:tab w:val="num" w:pos="1208"/>
        </w:tabs>
        <w:ind w:left="1208" w:hanging="357"/>
      </w:pPr>
      <w:rPr>
        <w:rFonts w:ascii="Symbol" w:hAnsi="Symbol" w:hint="default"/>
        <w:color w:val="auto"/>
      </w:rPr>
    </w:lvl>
    <w:lvl w:ilvl="4">
      <w:start w:val="1"/>
      <w:numFmt w:val="bullet"/>
      <w:lvlText w:val="○"/>
      <w:lvlJc w:val="left"/>
      <w:pPr>
        <w:tabs>
          <w:tab w:val="num" w:pos="1491"/>
        </w:tabs>
        <w:ind w:left="1491" w:hanging="357"/>
      </w:pPr>
      <w:rPr>
        <w:rFonts w:ascii="Arial" w:hAnsi="Arial" w:hint="default"/>
      </w:rPr>
    </w:lvl>
    <w:lvl w:ilvl="5">
      <w:start w:val="1"/>
      <w:numFmt w:val="bullet"/>
      <w:lvlText w:val=""/>
      <w:lvlJc w:val="left"/>
      <w:pPr>
        <w:tabs>
          <w:tab w:val="num" w:pos="1775"/>
        </w:tabs>
        <w:ind w:left="1775" w:hanging="357"/>
      </w:pPr>
      <w:rPr>
        <w:rFonts w:ascii="Wingdings 2" w:hAnsi="Wingdings 2" w:hint="default"/>
      </w:rPr>
    </w:lvl>
    <w:lvl w:ilvl="6">
      <w:start w:val="1"/>
      <w:numFmt w:val="bullet"/>
      <w:lvlText w:val="‒"/>
      <w:lvlJc w:val="left"/>
      <w:pPr>
        <w:tabs>
          <w:tab w:val="num" w:pos="2058"/>
        </w:tabs>
        <w:ind w:left="2058" w:hanging="357"/>
      </w:pPr>
      <w:rPr>
        <w:rFonts w:ascii="Arial" w:hAnsi="Arial" w:hint="default"/>
      </w:rPr>
    </w:lvl>
    <w:lvl w:ilvl="7">
      <w:start w:val="1"/>
      <w:numFmt w:val="bullet"/>
      <w:lvlText w:val=""/>
      <w:lvlJc w:val="left"/>
      <w:pPr>
        <w:tabs>
          <w:tab w:val="num" w:pos="2342"/>
        </w:tabs>
        <w:ind w:left="2342" w:hanging="357"/>
      </w:pPr>
      <w:rPr>
        <w:rFonts w:ascii="Symbol" w:hAnsi="Symbol" w:hint="default"/>
        <w:color w:val="auto"/>
      </w:rPr>
    </w:lvl>
    <w:lvl w:ilvl="8">
      <w:start w:val="1"/>
      <w:numFmt w:val="bullet"/>
      <w:lvlText w:val=""/>
      <w:lvlJc w:val="left"/>
      <w:pPr>
        <w:tabs>
          <w:tab w:val="num" w:pos="2625"/>
        </w:tabs>
        <w:ind w:left="2625" w:hanging="357"/>
      </w:pPr>
      <w:rPr>
        <w:rFonts w:ascii="Symbol" w:hAnsi="Symbol" w:hint="default"/>
        <w:color w:val="auto"/>
      </w:rPr>
    </w:lvl>
  </w:abstractNum>
  <w:abstractNum w:abstractNumId="13" w15:restartNumberingAfterBreak="0">
    <w:nsid w:val="0773722E"/>
    <w:multiLevelType w:val="hybridMultilevel"/>
    <w:tmpl w:val="692E9FAC"/>
    <w:lvl w:ilvl="0" w:tplc="0C090001">
      <w:start w:val="20"/>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183FF0"/>
    <w:multiLevelType w:val="hybridMultilevel"/>
    <w:tmpl w:val="55D42E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1E377A"/>
    <w:multiLevelType w:val="hybridMultilevel"/>
    <w:tmpl w:val="09D6AB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8949E5"/>
    <w:multiLevelType w:val="hybridMultilevel"/>
    <w:tmpl w:val="A9B64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1F340E"/>
    <w:multiLevelType w:val="multilevel"/>
    <w:tmpl w:val="5778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755A38"/>
    <w:multiLevelType w:val="hybridMultilevel"/>
    <w:tmpl w:val="C2DAD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27110F"/>
    <w:multiLevelType w:val="multilevel"/>
    <w:tmpl w:val="4D287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3A51CF"/>
    <w:multiLevelType w:val="multilevel"/>
    <w:tmpl w:val="D0F008C8"/>
    <w:lvl w:ilvl="0">
      <w:start w:val="1"/>
      <w:numFmt w:val="bullet"/>
      <w:lvlText w:val=""/>
      <w:lvlJc w:val="left"/>
      <w:pPr>
        <w:tabs>
          <w:tab w:val="num" w:pos="357"/>
        </w:tabs>
        <w:ind w:left="360" w:hanging="360"/>
      </w:pPr>
      <w:rPr>
        <w:rFonts w:ascii="Wingdings 2" w:hAnsi="Wingdings 2" w:hint="default"/>
      </w:rPr>
    </w:lvl>
    <w:lvl w:ilvl="1">
      <w:start w:val="1"/>
      <w:numFmt w:val="bullet"/>
      <w:lvlText w:val="‒"/>
      <w:lvlJc w:val="left"/>
      <w:pPr>
        <w:tabs>
          <w:tab w:val="num" w:pos="641"/>
        </w:tabs>
        <w:ind w:left="641" w:hanging="357"/>
      </w:pPr>
      <w:rPr>
        <w:rFonts w:ascii="Arial" w:hAnsi="Arial" w:hint="default"/>
      </w:rPr>
    </w:lvl>
    <w:lvl w:ilvl="2">
      <w:start w:val="1"/>
      <w:numFmt w:val="bullet"/>
      <w:lvlText w:val=""/>
      <w:lvlJc w:val="left"/>
      <w:pPr>
        <w:tabs>
          <w:tab w:val="num" w:pos="924"/>
        </w:tabs>
        <w:ind w:left="924" w:hanging="357"/>
      </w:pPr>
      <w:rPr>
        <w:rFonts w:ascii="Symbol" w:hAnsi="Symbol" w:hint="default"/>
        <w:color w:val="auto"/>
      </w:rPr>
    </w:lvl>
    <w:lvl w:ilvl="3">
      <w:start w:val="1"/>
      <w:numFmt w:val="bullet"/>
      <w:lvlText w:val=""/>
      <w:lvlJc w:val="left"/>
      <w:pPr>
        <w:tabs>
          <w:tab w:val="num" w:pos="1208"/>
        </w:tabs>
        <w:ind w:left="1208" w:hanging="357"/>
      </w:pPr>
      <w:rPr>
        <w:rFonts w:ascii="Symbol" w:hAnsi="Symbol" w:hint="default"/>
        <w:color w:val="auto"/>
      </w:rPr>
    </w:lvl>
    <w:lvl w:ilvl="4">
      <w:start w:val="1"/>
      <w:numFmt w:val="bullet"/>
      <w:lvlText w:val="○"/>
      <w:lvlJc w:val="left"/>
      <w:pPr>
        <w:tabs>
          <w:tab w:val="num" w:pos="1491"/>
        </w:tabs>
        <w:ind w:left="1491" w:hanging="357"/>
      </w:pPr>
      <w:rPr>
        <w:rFonts w:ascii="Arial" w:hAnsi="Arial" w:hint="default"/>
      </w:rPr>
    </w:lvl>
    <w:lvl w:ilvl="5">
      <w:start w:val="1"/>
      <w:numFmt w:val="bullet"/>
      <w:lvlText w:val=""/>
      <w:lvlJc w:val="left"/>
      <w:pPr>
        <w:tabs>
          <w:tab w:val="num" w:pos="1775"/>
        </w:tabs>
        <w:ind w:left="1775" w:hanging="357"/>
      </w:pPr>
      <w:rPr>
        <w:rFonts w:ascii="Wingdings 2" w:hAnsi="Wingdings 2" w:hint="default"/>
      </w:rPr>
    </w:lvl>
    <w:lvl w:ilvl="6">
      <w:start w:val="1"/>
      <w:numFmt w:val="bullet"/>
      <w:lvlText w:val="‒"/>
      <w:lvlJc w:val="left"/>
      <w:pPr>
        <w:tabs>
          <w:tab w:val="num" w:pos="2058"/>
        </w:tabs>
        <w:ind w:left="2058" w:hanging="357"/>
      </w:pPr>
      <w:rPr>
        <w:rFonts w:ascii="Arial" w:hAnsi="Arial" w:hint="default"/>
      </w:rPr>
    </w:lvl>
    <w:lvl w:ilvl="7">
      <w:start w:val="1"/>
      <w:numFmt w:val="bullet"/>
      <w:lvlText w:val=""/>
      <w:lvlJc w:val="left"/>
      <w:pPr>
        <w:tabs>
          <w:tab w:val="num" w:pos="2342"/>
        </w:tabs>
        <w:ind w:left="2342" w:hanging="357"/>
      </w:pPr>
      <w:rPr>
        <w:rFonts w:ascii="Symbol" w:hAnsi="Symbol" w:hint="default"/>
        <w:color w:val="auto"/>
      </w:rPr>
    </w:lvl>
    <w:lvl w:ilvl="8">
      <w:start w:val="1"/>
      <w:numFmt w:val="bullet"/>
      <w:lvlText w:val=""/>
      <w:lvlJc w:val="left"/>
      <w:pPr>
        <w:tabs>
          <w:tab w:val="num" w:pos="2625"/>
        </w:tabs>
        <w:ind w:left="2625" w:hanging="357"/>
      </w:pPr>
      <w:rPr>
        <w:rFonts w:ascii="Symbol" w:hAnsi="Symbol" w:hint="default"/>
        <w:color w:val="auto"/>
      </w:rPr>
    </w:lvl>
  </w:abstractNum>
  <w:abstractNum w:abstractNumId="22" w15:restartNumberingAfterBreak="0">
    <w:nsid w:val="29903D9A"/>
    <w:multiLevelType w:val="multilevel"/>
    <w:tmpl w:val="03D6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0A6F77"/>
    <w:multiLevelType w:val="hybridMultilevel"/>
    <w:tmpl w:val="9072F8B0"/>
    <w:lvl w:ilvl="0" w:tplc="0C09000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70287F"/>
    <w:multiLevelType w:val="hybridMultilevel"/>
    <w:tmpl w:val="B33ED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EC3D31"/>
    <w:multiLevelType w:val="hybridMultilevel"/>
    <w:tmpl w:val="6AA0198E"/>
    <w:lvl w:ilvl="0" w:tplc="584A9F22">
      <w:start w:val="20"/>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B415ACE"/>
    <w:multiLevelType w:val="hybridMultilevel"/>
    <w:tmpl w:val="A5264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BF6030B"/>
    <w:multiLevelType w:val="hybridMultilevel"/>
    <w:tmpl w:val="B67C4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C8B5ECC"/>
    <w:multiLevelType w:val="hybridMultilevel"/>
    <w:tmpl w:val="123A8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CB93F81"/>
    <w:multiLevelType w:val="hybridMultilevel"/>
    <w:tmpl w:val="EB106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F363E35"/>
    <w:multiLevelType w:val="hybridMultilevel"/>
    <w:tmpl w:val="7A1AB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3060538"/>
    <w:multiLevelType w:val="hybridMultilevel"/>
    <w:tmpl w:val="EE8E7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6377B7C"/>
    <w:multiLevelType w:val="hybridMultilevel"/>
    <w:tmpl w:val="E37ED55A"/>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7607992"/>
    <w:multiLevelType w:val="hybridMultilevel"/>
    <w:tmpl w:val="4DF04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A613D19"/>
    <w:multiLevelType w:val="hybridMultilevel"/>
    <w:tmpl w:val="450E90E8"/>
    <w:lvl w:ilvl="0" w:tplc="0C090001">
      <w:start w:val="1"/>
      <w:numFmt w:val="bullet"/>
      <w:lvlText w:val=""/>
      <w:lvlJc w:val="left"/>
      <w:pPr>
        <w:ind w:left="720" w:hanging="360"/>
      </w:pPr>
      <w:rPr>
        <w:rFonts w:ascii="Symbol" w:hAnsi="Symbol" w:hint="default"/>
      </w:rPr>
    </w:lvl>
    <w:lvl w:ilvl="1" w:tplc="0E40F548">
      <w:start w:val="1"/>
      <w:numFmt w:val="bullet"/>
      <w:lvlText w:val=""/>
      <w:lvlJc w:val="left"/>
      <w:pPr>
        <w:ind w:left="1440" w:hanging="360"/>
      </w:pPr>
      <w:rPr>
        <w:rFonts w:ascii="Symbol" w:hAnsi="Symbol" w:hint="default"/>
        <w:sz w:val="1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C1D43FA"/>
    <w:multiLevelType w:val="multilevel"/>
    <w:tmpl w:val="10D07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0C31EC3"/>
    <w:multiLevelType w:val="hybridMultilevel"/>
    <w:tmpl w:val="BA3C4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2F7078C"/>
    <w:multiLevelType w:val="hybridMultilevel"/>
    <w:tmpl w:val="7082ADEC"/>
    <w:lvl w:ilvl="0" w:tplc="0C090001">
      <w:start w:val="1"/>
      <w:numFmt w:val="bullet"/>
      <w:lvlText w:val=""/>
      <w:lvlJc w:val="left"/>
      <w:pPr>
        <w:ind w:left="720" w:hanging="360"/>
      </w:pPr>
      <w:rPr>
        <w:rFonts w:ascii="Symbol" w:hAnsi="Symbol" w:hint="default"/>
      </w:rPr>
    </w:lvl>
    <w:lvl w:ilvl="1" w:tplc="0E40F548">
      <w:start w:val="1"/>
      <w:numFmt w:val="bullet"/>
      <w:lvlText w:val=""/>
      <w:lvlJc w:val="left"/>
      <w:pPr>
        <w:ind w:left="1440" w:hanging="360"/>
      </w:pPr>
      <w:rPr>
        <w:rFonts w:ascii="Symbol" w:hAnsi="Symbol" w:hint="default"/>
        <w:sz w:val="1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5A262C01"/>
    <w:multiLevelType w:val="hybridMultilevel"/>
    <w:tmpl w:val="AC388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43" w15:restartNumberingAfterBreak="0">
    <w:nsid w:val="5D0F456B"/>
    <w:multiLevelType w:val="hybridMultilevel"/>
    <w:tmpl w:val="A5F2E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D4F6D22"/>
    <w:multiLevelType w:val="hybridMultilevel"/>
    <w:tmpl w:val="01429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DC92776"/>
    <w:multiLevelType w:val="hybridMultilevel"/>
    <w:tmpl w:val="9C109988"/>
    <w:lvl w:ilvl="0" w:tplc="0C090001">
      <w:start w:val="1"/>
      <w:numFmt w:val="bullet"/>
      <w:lvlText w:val=""/>
      <w:lvlJc w:val="left"/>
      <w:pPr>
        <w:ind w:left="720" w:hanging="360"/>
      </w:pPr>
      <w:rPr>
        <w:rFonts w:ascii="Symbol" w:hAnsi="Symbol" w:hint="default"/>
      </w:rPr>
    </w:lvl>
    <w:lvl w:ilvl="1" w:tplc="0E40F548">
      <w:start w:val="1"/>
      <w:numFmt w:val="bullet"/>
      <w:lvlText w:val=""/>
      <w:lvlJc w:val="left"/>
      <w:pPr>
        <w:ind w:left="1440" w:hanging="360"/>
      </w:pPr>
      <w:rPr>
        <w:rFonts w:ascii="Symbol" w:hAnsi="Symbol" w:hint="default"/>
        <w:sz w:val="1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F1C74CC"/>
    <w:multiLevelType w:val="hybridMultilevel"/>
    <w:tmpl w:val="F1644C94"/>
    <w:lvl w:ilvl="0" w:tplc="0C090001">
      <w:start w:val="1"/>
      <w:numFmt w:val="bullet"/>
      <w:lvlText w:val=""/>
      <w:lvlJc w:val="left"/>
      <w:pPr>
        <w:ind w:left="720" w:hanging="360"/>
      </w:pPr>
      <w:rPr>
        <w:rFonts w:ascii="Symbol" w:hAnsi="Symbol" w:hint="default"/>
      </w:rPr>
    </w:lvl>
    <w:lvl w:ilvl="1" w:tplc="0E40F548">
      <w:start w:val="1"/>
      <w:numFmt w:val="bullet"/>
      <w:lvlText w:val=""/>
      <w:lvlJc w:val="left"/>
      <w:pPr>
        <w:ind w:left="1440" w:hanging="360"/>
      </w:pPr>
      <w:rPr>
        <w:rFonts w:ascii="Symbol" w:hAnsi="Symbol" w:hint="default"/>
        <w:sz w:val="1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FFB6CBE"/>
    <w:multiLevelType w:val="hybridMultilevel"/>
    <w:tmpl w:val="FE800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0722E83"/>
    <w:multiLevelType w:val="multilevel"/>
    <w:tmpl w:val="D0F008C8"/>
    <w:lvl w:ilvl="0">
      <w:start w:val="1"/>
      <w:numFmt w:val="bullet"/>
      <w:lvlText w:val=""/>
      <w:lvlJc w:val="left"/>
      <w:pPr>
        <w:tabs>
          <w:tab w:val="num" w:pos="357"/>
        </w:tabs>
        <w:ind w:left="360" w:hanging="360"/>
      </w:pPr>
      <w:rPr>
        <w:rFonts w:ascii="Wingdings 2" w:hAnsi="Wingdings 2" w:hint="default"/>
      </w:rPr>
    </w:lvl>
    <w:lvl w:ilvl="1">
      <w:start w:val="1"/>
      <w:numFmt w:val="bullet"/>
      <w:lvlText w:val="‒"/>
      <w:lvlJc w:val="left"/>
      <w:pPr>
        <w:tabs>
          <w:tab w:val="num" w:pos="641"/>
        </w:tabs>
        <w:ind w:left="641" w:hanging="357"/>
      </w:pPr>
      <w:rPr>
        <w:rFonts w:ascii="Arial" w:hAnsi="Arial" w:hint="default"/>
      </w:rPr>
    </w:lvl>
    <w:lvl w:ilvl="2">
      <w:start w:val="1"/>
      <w:numFmt w:val="bullet"/>
      <w:lvlText w:val=""/>
      <w:lvlJc w:val="left"/>
      <w:pPr>
        <w:tabs>
          <w:tab w:val="num" w:pos="924"/>
        </w:tabs>
        <w:ind w:left="924" w:hanging="357"/>
      </w:pPr>
      <w:rPr>
        <w:rFonts w:ascii="Symbol" w:hAnsi="Symbol" w:hint="default"/>
        <w:color w:val="auto"/>
      </w:rPr>
    </w:lvl>
    <w:lvl w:ilvl="3">
      <w:start w:val="1"/>
      <w:numFmt w:val="bullet"/>
      <w:lvlText w:val=""/>
      <w:lvlJc w:val="left"/>
      <w:pPr>
        <w:tabs>
          <w:tab w:val="num" w:pos="1208"/>
        </w:tabs>
        <w:ind w:left="1208" w:hanging="357"/>
      </w:pPr>
      <w:rPr>
        <w:rFonts w:ascii="Symbol" w:hAnsi="Symbol" w:hint="default"/>
        <w:color w:val="auto"/>
      </w:rPr>
    </w:lvl>
    <w:lvl w:ilvl="4">
      <w:start w:val="1"/>
      <w:numFmt w:val="bullet"/>
      <w:lvlText w:val="○"/>
      <w:lvlJc w:val="left"/>
      <w:pPr>
        <w:tabs>
          <w:tab w:val="num" w:pos="1491"/>
        </w:tabs>
        <w:ind w:left="1491" w:hanging="357"/>
      </w:pPr>
      <w:rPr>
        <w:rFonts w:ascii="Arial" w:hAnsi="Arial" w:hint="default"/>
      </w:rPr>
    </w:lvl>
    <w:lvl w:ilvl="5">
      <w:start w:val="1"/>
      <w:numFmt w:val="bullet"/>
      <w:lvlText w:val=""/>
      <w:lvlJc w:val="left"/>
      <w:pPr>
        <w:tabs>
          <w:tab w:val="num" w:pos="1775"/>
        </w:tabs>
        <w:ind w:left="1775" w:hanging="357"/>
      </w:pPr>
      <w:rPr>
        <w:rFonts w:ascii="Wingdings 2" w:hAnsi="Wingdings 2" w:hint="default"/>
      </w:rPr>
    </w:lvl>
    <w:lvl w:ilvl="6">
      <w:start w:val="1"/>
      <w:numFmt w:val="bullet"/>
      <w:lvlText w:val="‒"/>
      <w:lvlJc w:val="left"/>
      <w:pPr>
        <w:tabs>
          <w:tab w:val="num" w:pos="2058"/>
        </w:tabs>
        <w:ind w:left="2058" w:hanging="357"/>
      </w:pPr>
      <w:rPr>
        <w:rFonts w:ascii="Arial" w:hAnsi="Arial" w:hint="default"/>
      </w:rPr>
    </w:lvl>
    <w:lvl w:ilvl="7">
      <w:start w:val="1"/>
      <w:numFmt w:val="bullet"/>
      <w:lvlText w:val=""/>
      <w:lvlJc w:val="left"/>
      <w:pPr>
        <w:tabs>
          <w:tab w:val="num" w:pos="2342"/>
        </w:tabs>
        <w:ind w:left="2342" w:hanging="357"/>
      </w:pPr>
      <w:rPr>
        <w:rFonts w:ascii="Symbol" w:hAnsi="Symbol" w:hint="default"/>
        <w:color w:val="auto"/>
      </w:rPr>
    </w:lvl>
    <w:lvl w:ilvl="8">
      <w:start w:val="1"/>
      <w:numFmt w:val="bullet"/>
      <w:lvlText w:val=""/>
      <w:lvlJc w:val="left"/>
      <w:pPr>
        <w:tabs>
          <w:tab w:val="num" w:pos="2625"/>
        </w:tabs>
        <w:ind w:left="2625" w:hanging="357"/>
      </w:pPr>
      <w:rPr>
        <w:rFonts w:ascii="Symbol" w:hAnsi="Symbol" w:hint="default"/>
        <w:color w:val="auto"/>
      </w:rPr>
    </w:lvl>
  </w:abstractNum>
  <w:abstractNum w:abstractNumId="49"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0"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1B9496E"/>
    <w:multiLevelType w:val="hybridMultilevel"/>
    <w:tmpl w:val="8520A47A"/>
    <w:lvl w:ilvl="0" w:tplc="0C090001">
      <w:start w:val="1"/>
      <w:numFmt w:val="bullet"/>
      <w:lvlText w:val=""/>
      <w:lvlJc w:val="left"/>
      <w:pPr>
        <w:ind w:left="720" w:hanging="360"/>
      </w:pPr>
      <w:rPr>
        <w:rFonts w:ascii="Symbol" w:hAnsi="Symbol" w:hint="default"/>
      </w:rPr>
    </w:lvl>
    <w:lvl w:ilvl="1" w:tplc="0E40F548">
      <w:start w:val="1"/>
      <w:numFmt w:val="bullet"/>
      <w:lvlText w:val=""/>
      <w:lvlJc w:val="left"/>
      <w:pPr>
        <w:ind w:left="1440" w:hanging="360"/>
      </w:pPr>
      <w:rPr>
        <w:rFonts w:ascii="Symbol" w:hAnsi="Symbol" w:hint="default"/>
        <w:sz w:val="1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1DA2F29"/>
    <w:multiLevelType w:val="hybridMultilevel"/>
    <w:tmpl w:val="F594E6D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54" w15:restartNumberingAfterBreak="0">
    <w:nsid w:val="658B60A1"/>
    <w:multiLevelType w:val="hybridMultilevel"/>
    <w:tmpl w:val="B21C7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6093F3F"/>
    <w:multiLevelType w:val="hybridMultilevel"/>
    <w:tmpl w:val="41E07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CCC1B66"/>
    <w:multiLevelType w:val="hybridMultilevel"/>
    <w:tmpl w:val="85129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6875ED1"/>
    <w:multiLevelType w:val="hybridMultilevel"/>
    <w:tmpl w:val="997CD1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6A1550E"/>
    <w:multiLevelType w:val="hybridMultilevel"/>
    <w:tmpl w:val="5FDE3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7DD24FF"/>
    <w:multiLevelType w:val="hybridMultilevel"/>
    <w:tmpl w:val="E696A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B787C57"/>
    <w:multiLevelType w:val="hybridMultilevel"/>
    <w:tmpl w:val="AC5E2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BF40BF8"/>
    <w:multiLevelType w:val="hybridMultilevel"/>
    <w:tmpl w:val="B3F2C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C75635F"/>
    <w:multiLevelType w:val="hybridMultilevel"/>
    <w:tmpl w:val="2E3E45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57"/>
  </w:num>
  <w:num w:numId="3">
    <w:abstractNumId w:val="49"/>
  </w:num>
  <w:num w:numId="4">
    <w:abstractNumId w:val="50"/>
  </w:num>
  <w:num w:numId="5">
    <w:abstractNumId w:val="15"/>
  </w:num>
  <w:num w:numId="6">
    <w:abstractNumId w:val="58"/>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3"/>
  </w:num>
  <w:num w:numId="9">
    <w:abstractNumId w:val="27"/>
  </w:num>
  <w:num w:numId="10">
    <w:abstractNumId w:val="40"/>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6"/>
  </w:num>
  <w:num w:numId="21">
    <w:abstractNumId w:val="25"/>
  </w:num>
  <w:num w:numId="22">
    <w:abstractNumId w:val="48"/>
  </w:num>
  <w:num w:numId="23">
    <w:abstractNumId w:val="12"/>
  </w:num>
  <w:num w:numId="24">
    <w:abstractNumId w:val="21"/>
  </w:num>
  <w:num w:numId="25">
    <w:abstractNumId w:val="45"/>
  </w:num>
  <w:num w:numId="26">
    <w:abstractNumId w:val="11"/>
  </w:num>
  <w:num w:numId="27">
    <w:abstractNumId w:val="54"/>
  </w:num>
  <w:num w:numId="28">
    <w:abstractNumId w:val="14"/>
  </w:num>
  <w:num w:numId="29">
    <w:abstractNumId w:val="60"/>
  </w:num>
  <w:num w:numId="30">
    <w:abstractNumId w:val="59"/>
  </w:num>
  <w:num w:numId="31">
    <w:abstractNumId w:val="16"/>
  </w:num>
  <w:num w:numId="32">
    <w:abstractNumId w:val="44"/>
  </w:num>
  <w:num w:numId="33">
    <w:abstractNumId w:val="56"/>
  </w:num>
  <w:num w:numId="34">
    <w:abstractNumId w:val="55"/>
  </w:num>
  <w:num w:numId="35">
    <w:abstractNumId w:val="62"/>
  </w:num>
  <w:num w:numId="36">
    <w:abstractNumId w:val="64"/>
  </w:num>
  <w:num w:numId="37">
    <w:abstractNumId w:val="46"/>
  </w:num>
  <w:num w:numId="38">
    <w:abstractNumId w:val="39"/>
  </w:num>
  <w:num w:numId="39">
    <w:abstractNumId w:val="51"/>
  </w:num>
  <w:num w:numId="40">
    <w:abstractNumId w:val="36"/>
  </w:num>
  <w:num w:numId="41">
    <w:abstractNumId w:val="29"/>
  </w:num>
  <w:num w:numId="42">
    <w:abstractNumId w:val="35"/>
  </w:num>
  <w:num w:numId="43">
    <w:abstractNumId w:val="22"/>
  </w:num>
  <w:num w:numId="44">
    <w:abstractNumId w:val="47"/>
  </w:num>
  <w:num w:numId="45">
    <w:abstractNumId w:val="32"/>
  </w:num>
  <w:num w:numId="46">
    <w:abstractNumId w:val="24"/>
  </w:num>
  <w:num w:numId="47">
    <w:abstractNumId w:val="41"/>
  </w:num>
  <w:num w:numId="48">
    <w:abstractNumId w:val="30"/>
  </w:num>
  <w:num w:numId="49">
    <w:abstractNumId w:val="63"/>
  </w:num>
  <w:num w:numId="50">
    <w:abstractNumId w:val="38"/>
  </w:num>
  <w:num w:numId="51">
    <w:abstractNumId w:val="31"/>
  </w:num>
  <w:num w:numId="52">
    <w:abstractNumId w:val="28"/>
  </w:num>
  <w:num w:numId="53">
    <w:abstractNumId w:val="43"/>
  </w:num>
  <w:num w:numId="54">
    <w:abstractNumId w:val="61"/>
  </w:num>
  <w:num w:numId="55">
    <w:abstractNumId w:val="10"/>
  </w:num>
  <w:num w:numId="56">
    <w:abstractNumId w:val="33"/>
  </w:num>
  <w:num w:numId="57">
    <w:abstractNumId w:val="19"/>
  </w:num>
  <w:num w:numId="58">
    <w:abstractNumId w:val="17"/>
  </w:num>
  <w:num w:numId="59">
    <w:abstractNumId w:val="37"/>
  </w:num>
  <w:num w:numId="60">
    <w:abstractNumId w:val="18"/>
  </w:num>
  <w:num w:numId="61">
    <w:abstractNumId w:val="20"/>
  </w:num>
  <w:num w:numId="62">
    <w:abstractNumId w:val="23"/>
  </w:num>
  <w:num w:numId="63">
    <w:abstractNumId w:val="34"/>
  </w:num>
  <w:num w:numId="64">
    <w:abstractNumId w:val="52"/>
  </w:num>
  <w:num w:numId="65">
    <w:abstractNumId w:val="1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120833">
      <o:colormru v:ext="edit" colors="#ffc425,#bbb8a7"/>
      <o:colormenu v:ext="edit" fillcolor="non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Q2NzcxMbQwMTQ1NTFQ0lEKTi0uzszPAykwNKwFAKJHJkktAAAA"/>
  </w:docVars>
  <w:rsids>
    <w:rsidRoot w:val="003D4DFA"/>
    <w:rsid w:val="00002B29"/>
    <w:rsid w:val="000033ED"/>
    <w:rsid w:val="00006451"/>
    <w:rsid w:val="0000677B"/>
    <w:rsid w:val="00006DF1"/>
    <w:rsid w:val="000100B1"/>
    <w:rsid w:val="000108B2"/>
    <w:rsid w:val="000138F5"/>
    <w:rsid w:val="0001436E"/>
    <w:rsid w:val="0001455D"/>
    <w:rsid w:val="00015D62"/>
    <w:rsid w:val="00017CA4"/>
    <w:rsid w:val="000218BE"/>
    <w:rsid w:val="00022290"/>
    <w:rsid w:val="0002340E"/>
    <w:rsid w:val="00023548"/>
    <w:rsid w:val="00024478"/>
    <w:rsid w:val="00024BAE"/>
    <w:rsid w:val="00025570"/>
    <w:rsid w:val="0002579F"/>
    <w:rsid w:val="00025B71"/>
    <w:rsid w:val="00026EB9"/>
    <w:rsid w:val="000312A2"/>
    <w:rsid w:val="00031BA3"/>
    <w:rsid w:val="00034C3A"/>
    <w:rsid w:val="000358AB"/>
    <w:rsid w:val="000364D1"/>
    <w:rsid w:val="000369C7"/>
    <w:rsid w:val="00037D3A"/>
    <w:rsid w:val="00037E1B"/>
    <w:rsid w:val="0004054E"/>
    <w:rsid w:val="000417AF"/>
    <w:rsid w:val="00042710"/>
    <w:rsid w:val="00043115"/>
    <w:rsid w:val="000435A6"/>
    <w:rsid w:val="00043BA6"/>
    <w:rsid w:val="00043D42"/>
    <w:rsid w:val="000443A1"/>
    <w:rsid w:val="00045E77"/>
    <w:rsid w:val="0004657F"/>
    <w:rsid w:val="00046EAE"/>
    <w:rsid w:val="000471D6"/>
    <w:rsid w:val="00047B4E"/>
    <w:rsid w:val="00051EED"/>
    <w:rsid w:val="000529A2"/>
    <w:rsid w:val="000533F9"/>
    <w:rsid w:val="00053DDD"/>
    <w:rsid w:val="0005589D"/>
    <w:rsid w:val="0006125F"/>
    <w:rsid w:val="00061C61"/>
    <w:rsid w:val="000622F5"/>
    <w:rsid w:val="00062CA9"/>
    <w:rsid w:val="00063992"/>
    <w:rsid w:val="00063A52"/>
    <w:rsid w:val="00064634"/>
    <w:rsid w:val="00064D9D"/>
    <w:rsid w:val="000656A6"/>
    <w:rsid w:val="00067955"/>
    <w:rsid w:val="000711B8"/>
    <w:rsid w:val="000711D6"/>
    <w:rsid w:val="00073CFB"/>
    <w:rsid w:val="000740C8"/>
    <w:rsid w:val="00074BD4"/>
    <w:rsid w:val="0007558B"/>
    <w:rsid w:val="000771EB"/>
    <w:rsid w:val="00077706"/>
    <w:rsid w:val="000778EE"/>
    <w:rsid w:val="00082469"/>
    <w:rsid w:val="00082A73"/>
    <w:rsid w:val="00083C29"/>
    <w:rsid w:val="00087596"/>
    <w:rsid w:val="00087A6B"/>
    <w:rsid w:val="000901FE"/>
    <w:rsid w:val="0009100C"/>
    <w:rsid w:val="0009249E"/>
    <w:rsid w:val="00092AB1"/>
    <w:rsid w:val="000939E6"/>
    <w:rsid w:val="00093D64"/>
    <w:rsid w:val="000957FA"/>
    <w:rsid w:val="000A1A90"/>
    <w:rsid w:val="000A2180"/>
    <w:rsid w:val="000A318B"/>
    <w:rsid w:val="000A4261"/>
    <w:rsid w:val="000A4472"/>
    <w:rsid w:val="000A4609"/>
    <w:rsid w:val="000A60C7"/>
    <w:rsid w:val="000A6A74"/>
    <w:rsid w:val="000A6CAB"/>
    <w:rsid w:val="000A7532"/>
    <w:rsid w:val="000A7B88"/>
    <w:rsid w:val="000B03EB"/>
    <w:rsid w:val="000B0E4B"/>
    <w:rsid w:val="000B16B7"/>
    <w:rsid w:val="000B16EA"/>
    <w:rsid w:val="000B18D7"/>
    <w:rsid w:val="000B1B29"/>
    <w:rsid w:val="000B234E"/>
    <w:rsid w:val="000B3E5B"/>
    <w:rsid w:val="000B527D"/>
    <w:rsid w:val="000B6FB4"/>
    <w:rsid w:val="000B7ACA"/>
    <w:rsid w:val="000C0762"/>
    <w:rsid w:val="000C0AB7"/>
    <w:rsid w:val="000C312D"/>
    <w:rsid w:val="000C42CC"/>
    <w:rsid w:val="000C5519"/>
    <w:rsid w:val="000C56A7"/>
    <w:rsid w:val="000C574B"/>
    <w:rsid w:val="000C6143"/>
    <w:rsid w:val="000C6195"/>
    <w:rsid w:val="000C6AB3"/>
    <w:rsid w:val="000C6F42"/>
    <w:rsid w:val="000C7D27"/>
    <w:rsid w:val="000D04DC"/>
    <w:rsid w:val="000D06EF"/>
    <w:rsid w:val="000D0AA8"/>
    <w:rsid w:val="000D1083"/>
    <w:rsid w:val="000D14C2"/>
    <w:rsid w:val="000D2278"/>
    <w:rsid w:val="000D2A46"/>
    <w:rsid w:val="000D30C5"/>
    <w:rsid w:val="000D439B"/>
    <w:rsid w:val="000D675B"/>
    <w:rsid w:val="000D6CF0"/>
    <w:rsid w:val="000D7EF9"/>
    <w:rsid w:val="000E00FE"/>
    <w:rsid w:val="000E097E"/>
    <w:rsid w:val="000E0A42"/>
    <w:rsid w:val="000E1A07"/>
    <w:rsid w:val="000E2026"/>
    <w:rsid w:val="000E2CE6"/>
    <w:rsid w:val="000E47DF"/>
    <w:rsid w:val="000E482B"/>
    <w:rsid w:val="000E7547"/>
    <w:rsid w:val="000F0453"/>
    <w:rsid w:val="000F0C1F"/>
    <w:rsid w:val="000F0FF0"/>
    <w:rsid w:val="000F19A2"/>
    <w:rsid w:val="000F23EB"/>
    <w:rsid w:val="000F329C"/>
    <w:rsid w:val="000F3D1E"/>
    <w:rsid w:val="000F5279"/>
    <w:rsid w:val="000F5784"/>
    <w:rsid w:val="000F5970"/>
    <w:rsid w:val="000F5C33"/>
    <w:rsid w:val="00101428"/>
    <w:rsid w:val="00101AC6"/>
    <w:rsid w:val="00102A06"/>
    <w:rsid w:val="00105123"/>
    <w:rsid w:val="00105D47"/>
    <w:rsid w:val="0010685D"/>
    <w:rsid w:val="0010761A"/>
    <w:rsid w:val="00110420"/>
    <w:rsid w:val="00110967"/>
    <w:rsid w:val="00110C43"/>
    <w:rsid w:val="00111E05"/>
    <w:rsid w:val="00113286"/>
    <w:rsid w:val="00113805"/>
    <w:rsid w:val="00116F69"/>
    <w:rsid w:val="0011703D"/>
    <w:rsid w:val="001178AB"/>
    <w:rsid w:val="001209BE"/>
    <w:rsid w:val="0012388A"/>
    <w:rsid w:val="00123B5C"/>
    <w:rsid w:val="00124E32"/>
    <w:rsid w:val="00125E47"/>
    <w:rsid w:val="00127813"/>
    <w:rsid w:val="0013050A"/>
    <w:rsid w:val="00130BF1"/>
    <w:rsid w:val="00131C09"/>
    <w:rsid w:val="00131D5D"/>
    <w:rsid w:val="00133723"/>
    <w:rsid w:val="0013482D"/>
    <w:rsid w:val="00134DF5"/>
    <w:rsid w:val="00135941"/>
    <w:rsid w:val="00135C75"/>
    <w:rsid w:val="00135D1A"/>
    <w:rsid w:val="00140610"/>
    <w:rsid w:val="001422C8"/>
    <w:rsid w:val="00143049"/>
    <w:rsid w:val="00143781"/>
    <w:rsid w:val="00144E76"/>
    <w:rsid w:val="001450E8"/>
    <w:rsid w:val="00146066"/>
    <w:rsid w:val="001462FD"/>
    <w:rsid w:val="00146364"/>
    <w:rsid w:val="001467E4"/>
    <w:rsid w:val="00150874"/>
    <w:rsid w:val="001509F3"/>
    <w:rsid w:val="0015117E"/>
    <w:rsid w:val="0015191F"/>
    <w:rsid w:val="00151ED1"/>
    <w:rsid w:val="001550A3"/>
    <w:rsid w:val="00155986"/>
    <w:rsid w:val="00156177"/>
    <w:rsid w:val="001575FC"/>
    <w:rsid w:val="00157FC9"/>
    <w:rsid w:val="00163009"/>
    <w:rsid w:val="001647B6"/>
    <w:rsid w:val="00166E0D"/>
    <w:rsid w:val="00167C49"/>
    <w:rsid w:val="001774A5"/>
    <w:rsid w:val="0018208A"/>
    <w:rsid w:val="001828B7"/>
    <w:rsid w:val="00183509"/>
    <w:rsid w:val="001837C3"/>
    <w:rsid w:val="00183D9F"/>
    <w:rsid w:val="0018662D"/>
    <w:rsid w:val="001869F6"/>
    <w:rsid w:val="00187B11"/>
    <w:rsid w:val="00187BF6"/>
    <w:rsid w:val="001904C1"/>
    <w:rsid w:val="00190E07"/>
    <w:rsid w:val="001934C2"/>
    <w:rsid w:val="001942C2"/>
    <w:rsid w:val="0019561A"/>
    <w:rsid w:val="00196342"/>
    <w:rsid w:val="001A2B47"/>
    <w:rsid w:val="001A2DFE"/>
    <w:rsid w:val="001A3EB9"/>
    <w:rsid w:val="001A45D0"/>
    <w:rsid w:val="001A524A"/>
    <w:rsid w:val="001A5E8E"/>
    <w:rsid w:val="001A683D"/>
    <w:rsid w:val="001A722F"/>
    <w:rsid w:val="001A7B3C"/>
    <w:rsid w:val="001B2E27"/>
    <w:rsid w:val="001B3624"/>
    <w:rsid w:val="001B43CF"/>
    <w:rsid w:val="001B4EB6"/>
    <w:rsid w:val="001B6508"/>
    <w:rsid w:val="001B6E48"/>
    <w:rsid w:val="001B7BFF"/>
    <w:rsid w:val="001B7C4A"/>
    <w:rsid w:val="001C004A"/>
    <w:rsid w:val="001C61C2"/>
    <w:rsid w:val="001C66DB"/>
    <w:rsid w:val="001C6BC5"/>
    <w:rsid w:val="001C6EE7"/>
    <w:rsid w:val="001D3184"/>
    <w:rsid w:val="001D321A"/>
    <w:rsid w:val="001D4B3C"/>
    <w:rsid w:val="001E12AC"/>
    <w:rsid w:val="001E288A"/>
    <w:rsid w:val="001E5C02"/>
    <w:rsid w:val="001E692E"/>
    <w:rsid w:val="001E74B4"/>
    <w:rsid w:val="001E7E4A"/>
    <w:rsid w:val="001F2B7A"/>
    <w:rsid w:val="001F2F38"/>
    <w:rsid w:val="001F3740"/>
    <w:rsid w:val="001F3D2C"/>
    <w:rsid w:val="001F5E6A"/>
    <w:rsid w:val="001F5F58"/>
    <w:rsid w:val="001F7D84"/>
    <w:rsid w:val="002001C5"/>
    <w:rsid w:val="00200BE6"/>
    <w:rsid w:val="002011AC"/>
    <w:rsid w:val="002014BC"/>
    <w:rsid w:val="00201EC4"/>
    <w:rsid w:val="00202A5B"/>
    <w:rsid w:val="00204210"/>
    <w:rsid w:val="00205952"/>
    <w:rsid w:val="002073D7"/>
    <w:rsid w:val="002076C8"/>
    <w:rsid w:val="00207B66"/>
    <w:rsid w:val="00207CE8"/>
    <w:rsid w:val="00211950"/>
    <w:rsid w:val="00213D3F"/>
    <w:rsid w:val="00214C38"/>
    <w:rsid w:val="00214ED0"/>
    <w:rsid w:val="00215140"/>
    <w:rsid w:val="00215B6F"/>
    <w:rsid w:val="00220A0A"/>
    <w:rsid w:val="00221ADC"/>
    <w:rsid w:val="00221BA6"/>
    <w:rsid w:val="00222858"/>
    <w:rsid w:val="00224883"/>
    <w:rsid w:val="00224CE5"/>
    <w:rsid w:val="0022538C"/>
    <w:rsid w:val="002277A9"/>
    <w:rsid w:val="002302E9"/>
    <w:rsid w:val="00232792"/>
    <w:rsid w:val="00232B80"/>
    <w:rsid w:val="00232F5E"/>
    <w:rsid w:val="002331D6"/>
    <w:rsid w:val="0023395F"/>
    <w:rsid w:val="00233BFA"/>
    <w:rsid w:val="00233F5A"/>
    <w:rsid w:val="00234687"/>
    <w:rsid w:val="00234B0F"/>
    <w:rsid w:val="00235E83"/>
    <w:rsid w:val="00237DEE"/>
    <w:rsid w:val="00240E9B"/>
    <w:rsid w:val="00242270"/>
    <w:rsid w:val="00242B7E"/>
    <w:rsid w:val="0024319E"/>
    <w:rsid w:val="00243890"/>
    <w:rsid w:val="00244464"/>
    <w:rsid w:val="00245694"/>
    <w:rsid w:val="002458E3"/>
    <w:rsid w:val="00250EDF"/>
    <w:rsid w:val="00251024"/>
    <w:rsid w:val="002520D7"/>
    <w:rsid w:val="00252EDF"/>
    <w:rsid w:val="002548F6"/>
    <w:rsid w:val="00254AAE"/>
    <w:rsid w:val="00256350"/>
    <w:rsid w:val="00257306"/>
    <w:rsid w:val="00257759"/>
    <w:rsid w:val="0026217B"/>
    <w:rsid w:val="00262B49"/>
    <w:rsid w:val="00262B4C"/>
    <w:rsid w:val="0026465E"/>
    <w:rsid w:val="00265077"/>
    <w:rsid w:val="00267EB3"/>
    <w:rsid w:val="00267FE2"/>
    <w:rsid w:val="002700FA"/>
    <w:rsid w:val="00271267"/>
    <w:rsid w:val="00272AE3"/>
    <w:rsid w:val="00273A3C"/>
    <w:rsid w:val="00273F00"/>
    <w:rsid w:val="00274253"/>
    <w:rsid w:val="00277DDC"/>
    <w:rsid w:val="002802BB"/>
    <w:rsid w:val="002816C1"/>
    <w:rsid w:val="00281885"/>
    <w:rsid w:val="00281917"/>
    <w:rsid w:val="00282043"/>
    <w:rsid w:val="002823C3"/>
    <w:rsid w:val="0028464B"/>
    <w:rsid w:val="00284783"/>
    <w:rsid w:val="00284FCB"/>
    <w:rsid w:val="00285C39"/>
    <w:rsid w:val="002936E4"/>
    <w:rsid w:val="00294235"/>
    <w:rsid w:val="002947D3"/>
    <w:rsid w:val="00294B9B"/>
    <w:rsid w:val="00296E27"/>
    <w:rsid w:val="0029795D"/>
    <w:rsid w:val="002A20F0"/>
    <w:rsid w:val="002A2601"/>
    <w:rsid w:val="002A3F1C"/>
    <w:rsid w:val="002A4282"/>
    <w:rsid w:val="002A58E8"/>
    <w:rsid w:val="002A6ADE"/>
    <w:rsid w:val="002A7779"/>
    <w:rsid w:val="002A7AC3"/>
    <w:rsid w:val="002B0B41"/>
    <w:rsid w:val="002B0CC6"/>
    <w:rsid w:val="002B393A"/>
    <w:rsid w:val="002B3DE7"/>
    <w:rsid w:val="002C20E9"/>
    <w:rsid w:val="002C42E8"/>
    <w:rsid w:val="002C4886"/>
    <w:rsid w:val="002C5FBB"/>
    <w:rsid w:val="002C61C4"/>
    <w:rsid w:val="002C630F"/>
    <w:rsid w:val="002C63DD"/>
    <w:rsid w:val="002C766F"/>
    <w:rsid w:val="002D07B2"/>
    <w:rsid w:val="002D2381"/>
    <w:rsid w:val="002D24F2"/>
    <w:rsid w:val="002D2F43"/>
    <w:rsid w:val="002D3453"/>
    <w:rsid w:val="002D414B"/>
    <w:rsid w:val="002D52D7"/>
    <w:rsid w:val="002D555E"/>
    <w:rsid w:val="002D5A07"/>
    <w:rsid w:val="002D61F7"/>
    <w:rsid w:val="002D6548"/>
    <w:rsid w:val="002E0AE9"/>
    <w:rsid w:val="002E196B"/>
    <w:rsid w:val="002E61A4"/>
    <w:rsid w:val="002E6D06"/>
    <w:rsid w:val="002E7E18"/>
    <w:rsid w:val="002E7FCF"/>
    <w:rsid w:val="002F034E"/>
    <w:rsid w:val="002F03DB"/>
    <w:rsid w:val="002F0955"/>
    <w:rsid w:val="002F0F33"/>
    <w:rsid w:val="002F1EEE"/>
    <w:rsid w:val="002F1F37"/>
    <w:rsid w:val="002F272D"/>
    <w:rsid w:val="002F4CC4"/>
    <w:rsid w:val="00300A35"/>
    <w:rsid w:val="00300F19"/>
    <w:rsid w:val="003013D8"/>
    <w:rsid w:val="00301B29"/>
    <w:rsid w:val="003028F7"/>
    <w:rsid w:val="00303361"/>
    <w:rsid w:val="00303DC5"/>
    <w:rsid w:val="00304332"/>
    <w:rsid w:val="00304E60"/>
    <w:rsid w:val="00310C31"/>
    <w:rsid w:val="00311A5E"/>
    <w:rsid w:val="003128DE"/>
    <w:rsid w:val="00313B3B"/>
    <w:rsid w:val="003147FA"/>
    <w:rsid w:val="003151AF"/>
    <w:rsid w:val="00316095"/>
    <w:rsid w:val="00316B98"/>
    <w:rsid w:val="00322FF7"/>
    <w:rsid w:val="0032375D"/>
    <w:rsid w:val="00323C21"/>
    <w:rsid w:val="00323DFE"/>
    <w:rsid w:val="00324917"/>
    <w:rsid w:val="003256BF"/>
    <w:rsid w:val="0032608F"/>
    <w:rsid w:val="00327517"/>
    <w:rsid w:val="00330CF3"/>
    <w:rsid w:val="00331031"/>
    <w:rsid w:val="00331BBF"/>
    <w:rsid w:val="0033299B"/>
    <w:rsid w:val="00332FD8"/>
    <w:rsid w:val="0033376E"/>
    <w:rsid w:val="00334575"/>
    <w:rsid w:val="00334A6B"/>
    <w:rsid w:val="003356D7"/>
    <w:rsid w:val="00335880"/>
    <w:rsid w:val="00335A8D"/>
    <w:rsid w:val="00335B2D"/>
    <w:rsid w:val="003364D3"/>
    <w:rsid w:val="0034004F"/>
    <w:rsid w:val="003407CC"/>
    <w:rsid w:val="00341C4D"/>
    <w:rsid w:val="0034244E"/>
    <w:rsid w:val="00342496"/>
    <w:rsid w:val="00343A0F"/>
    <w:rsid w:val="003460F0"/>
    <w:rsid w:val="00346AAF"/>
    <w:rsid w:val="003478EA"/>
    <w:rsid w:val="0035085D"/>
    <w:rsid w:val="003526B0"/>
    <w:rsid w:val="0035331D"/>
    <w:rsid w:val="00353D20"/>
    <w:rsid w:val="00353E57"/>
    <w:rsid w:val="003569E6"/>
    <w:rsid w:val="00356B52"/>
    <w:rsid w:val="0035756F"/>
    <w:rsid w:val="00360FAD"/>
    <w:rsid w:val="0036101C"/>
    <w:rsid w:val="0036106F"/>
    <w:rsid w:val="0036182C"/>
    <w:rsid w:val="003623B5"/>
    <w:rsid w:val="003627A4"/>
    <w:rsid w:val="00363B7F"/>
    <w:rsid w:val="00366753"/>
    <w:rsid w:val="00366E4E"/>
    <w:rsid w:val="003705E8"/>
    <w:rsid w:val="0037279C"/>
    <w:rsid w:val="00372CB2"/>
    <w:rsid w:val="00373587"/>
    <w:rsid w:val="003761C9"/>
    <w:rsid w:val="0038099B"/>
    <w:rsid w:val="003813E4"/>
    <w:rsid w:val="00382243"/>
    <w:rsid w:val="003822FD"/>
    <w:rsid w:val="0038262B"/>
    <w:rsid w:val="00383428"/>
    <w:rsid w:val="003848D5"/>
    <w:rsid w:val="00385BB8"/>
    <w:rsid w:val="00385BEE"/>
    <w:rsid w:val="00387575"/>
    <w:rsid w:val="003910BD"/>
    <w:rsid w:val="00392114"/>
    <w:rsid w:val="0039263D"/>
    <w:rsid w:val="00394349"/>
    <w:rsid w:val="00395440"/>
    <w:rsid w:val="00395447"/>
    <w:rsid w:val="00395541"/>
    <w:rsid w:val="003974CB"/>
    <w:rsid w:val="003A172F"/>
    <w:rsid w:val="003A24FD"/>
    <w:rsid w:val="003A3EEB"/>
    <w:rsid w:val="003A418D"/>
    <w:rsid w:val="003A42E6"/>
    <w:rsid w:val="003A614D"/>
    <w:rsid w:val="003A704F"/>
    <w:rsid w:val="003A7AEB"/>
    <w:rsid w:val="003B0363"/>
    <w:rsid w:val="003B16DA"/>
    <w:rsid w:val="003B1C42"/>
    <w:rsid w:val="003B483E"/>
    <w:rsid w:val="003B4D8A"/>
    <w:rsid w:val="003B6C52"/>
    <w:rsid w:val="003C0B0F"/>
    <w:rsid w:val="003C0F36"/>
    <w:rsid w:val="003C288D"/>
    <w:rsid w:val="003C48E4"/>
    <w:rsid w:val="003C4E45"/>
    <w:rsid w:val="003D091C"/>
    <w:rsid w:val="003D0955"/>
    <w:rsid w:val="003D108E"/>
    <w:rsid w:val="003D14BA"/>
    <w:rsid w:val="003D1F18"/>
    <w:rsid w:val="003D28CF"/>
    <w:rsid w:val="003D34D5"/>
    <w:rsid w:val="003D3A29"/>
    <w:rsid w:val="003D3AAB"/>
    <w:rsid w:val="003D4B3E"/>
    <w:rsid w:val="003D4DFA"/>
    <w:rsid w:val="003D5F50"/>
    <w:rsid w:val="003D64B0"/>
    <w:rsid w:val="003D7057"/>
    <w:rsid w:val="003E020D"/>
    <w:rsid w:val="003E0AEE"/>
    <w:rsid w:val="003E15A5"/>
    <w:rsid w:val="003E3B6F"/>
    <w:rsid w:val="003E491E"/>
    <w:rsid w:val="003E66BE"/>
    <w:rsid w:val="003E67CB"/>
    <w:rsid w:val="003E76AA"/>
    <w:rsid w:val="003F4C5F"/>
    <w:rsid w:val="003F5B20"/>
    <w:rsid w:val="003F709F"/>
    <w:rsid w:val="003F73FA"/>
    <w:rsid w:val="00400301"/>
    <w:rsid w:val="0040107E"/>
    <w:rsid w:val="0040108B"/>
    <w:rsid w:val="00401A3B"/>
    <w:rsid w:val="00403EF7"/>
    <w:rsid w:val="00406BB7"/>
    <w:rsid w:val="004070C3"/>
    <w:rsid w:val="00407F0A"/>
    <w:rsid w:val="00407FDE"/>
    <w:rsid w:val="00410138"/>
    <w:rsid w:val="00412324"/>
    <w:rsid w:val="004134E3"/>
    <w:rsid w:val="0041525B"/>
    <w:rsid w:val="00417444"/>
    <w:rsid w:val="004222CD"/>
    <w:rsid w:val="00423C3E"/>
    <w:rsid w:val="00424132"/>
    <w:rsid w:val="00424844"/>
    <w:rsid w:val="00424885"/>
    <w:rsid w:val="00424F4E"/>
    <w:rsid w:val="004277DD"/>
    <w:rsid w:val="00430790"/>
    <w:rsid w:val="00430892"/>
    <w:rsid w:val="004318E4"/>
    <w:rsid w:val="00432394"/>
    <w:rsid w:val="00432F30"/>
    <w:rsid w:val="00432FD0"/>
    <w:rsid w:val="0043379C"/>
    <w:rsid w:val="0043573B"/>
    <w:rsid w:val="00436103"/>
    <w:rsid w:val="00436DA6"/>
    <w:rsid w:val="0044199C"/>
    <w:rsid w:val="004427F2"/>
    <w:rsid w:val="00446ADE"/>
    <w:rsid w:val="00446BEA"/>
    <w:rsid w:val="00450AD2"/>
    <w:rsid w:val="004510A9"/>
    <w:rsid w:val="004521C5"/>
    <w:rsid w:val="00452372"/>
    <w:rsid w:val="004523EF"/>
    <w:rsid w:val="004526C8"/>
    <w:rsid w:val="004541F6"/>
    <w:rsid w:val="0045475A"/>
    <w:rsid w:val="00455B1E"/>
    <w:rsid w:val="00455FE6"/>
    <w:rsid w:val="00456222"/>
    <w:rsid w:val="00456F89"/>
    <w:rsid w:val="00457797"/>
    <w:rsid w:val="00462C01"/>
    <w:rsid w:val="00464447"/>
    <w:rsid w:val="00471727"/>
    <w:rsid w:val="0047224C"/>
    <w:rsid w:val="004744F8"/>
    <w:rsid w:val="00475874"/>
    <w:rsid w:val="00480B5A"/>
    <w:rsid w:val="00481D76"/>
    <w:rsid w:val="0048487F"/>
    <w:rsid w:val="00487570"/>
    <w:rsid w:val="004876E4"/>
    <w:rsid w:val="00487F8F"/>
    <w:rsid w:val="0049204C"/>
    <w:rsid w:val="00492147"/>
    <w:rsid w:val="00492C07"/>
    <w:rsid w:val="00493C54"/>
    <w:rsid w:val="00494882"/>
    <w:rsid w:val="00495120"/>
    <w:rsid w:val="00495B4C"/>
    <w:rsid w:val="0049602B"/>
    <w:rsid w:val="0049704D"/>
    <w:rsid w:val="004A0F34"/>
    <w:rsid w:val="004A1B8E"/>
    <w:rsid w:val="004A2720"/>
    <w:rsid w:val="004A3F4D"/>
    <w:rsid w:val="004A40A2"/>
    <w:rsid w:val="004A4102"/>
    <w:rsid w:val="004A4218"/>
    <w:rsid w:val="004A541A"/>
    <w:rsid w:val="004A6BD9"/>
    <w:rsid w:val="004B031A"/>
    <w:rsid w:val="004B0EE4"/>
    <w:rsid w:val="004B190D"/>
    <w:rsid w:val="004B23CC"/>
    <w:rsid w:val="004B27B2"/>
    <w:rsid w:val="004B3A46"/>
    <w:rsid w:val="004B4911"/>
    <w:rsid w:val="004B5E86"/>
    <w:rsid w:val="004B7AC5"/>
    <w:rsid w:val="004B7F6A"/>
    <w:rsid w:val="004B7FFA"/>
    <w:rsid w:val="004C0782"/>
    <w:rsid w:val="004C14BB"/>
    <w:rsid w:val="004C178F"/>
    <w:rsid w:val="004C20A9"/>
    <w:rsid w:val="004C630C"/>
    <w:rsid w:val="004C74F4"/>
    <w:rsid w:val="004D0ABE"/>
    <w:rsid w:val="004D39F1"/>
    <w:rsid w:val="004D466E"/>
    <w:rsid w:val="004D59CF"/>
    <w:rsid w:val="004D5DDD"/>
    <w:rsid w:val="004D6B90"/>
    <w:rsid w:val="004E1A1B"/>
    <w:rsid w:val="004E1F9B"/>
    <w:rsid w:val="004E2AFB"/>
    <w:rsid w:val="004E5AC1"/>
    <w:rsid w:val="004E6B9E"/>
    <w:rsid w:val="004E6BBD"/>
    <w:rsid w:val="004E716B"/>
    <w:rsid w:val="004E71B1"/>
    <w:rsid w:val="004E71DF"/>
    <w:rsid w:val="004E7227"/>
    <w:rsid w:val="004F063C"/>
    <w:rsid w:val="004F06D6"/>
    <w:rsid w:val="004F0B76"/>
    <w:rsid w:val="004F0E14"/>
    <w:rsid w:val="004F130A"/>
    <w:rsid w:val="004F14FF"/>
    <w:rsid w:val="004F270B"/>
    <w:rsid w:val="004F286D"/>
    <w:rsid w:val="004F3F64"/>
    <w:rsid w:val="004F4004"/>
    <w:rsid w:val="004F66CE"/>
    <w:rsid w:val="00500EF2"/>
    <w:rsid w:val="0050255D"/>
    <w:rsid w:val="00502CFE"/>
    <w:rsid w:val="005044A9"/>
    <w:rsid w:val="005050ED"/>
    <w:rsid w:val="0050567E"/>
    <w:rsid w:val="00506DCD"/>
    <w:rsid w:val="00507D14"/>
    <w:rsid w:val="00507E42"/>
    <w:rsid w:val="00507E6F"/>
    <w:rsid w:val="005128A7"/>
    <w:rsid w:val="00513938"/>
    <w:rsid w:val="00516A1B"/>
    <w:rsid w:val="0051775D"/>
    <w:rsid w:val="00517B84"/>
    <w:rsid w:val="005206E9"/>
    <w:rsid w:val="00521895"/>
    <w:rsid w:val="0052276C"/>
    <w:rsid w:val="00523D23"/>
    <w:rsid w:val="00523E9C"/>
    <w:rsid w:val="005249A5"/>
    <w:rsid w:val="00525913"/>
    <w:rsid w:val="00525A39"/>
    <w:rsid w:val="00525CCF"/>
    <w:rsid w:val="005266FF"/>
    <w:rsid w:val="00526785"/>
    <w:rsid w:val="00526C14"/>
    <w:rsid w:val="005274D6"/>
    <w:rsid w:val="00531106"/>
    <w:rsid w:val="00531ACA"/>
    <w:rsid w:val="005324B8"/>
    <w:rsid w:val="00533F39"/>
    <w:rsid w:val="00533F78"/>
    <w:rsid w:val="00534749"/>
    <w:rsid w:val="005378DA"/>
    <w:rsid w:val="005405EE"/>
    <w:rsid w:val="005410E0"/>
    <w:rsid w:val="00543123"/>
    <w:rsid w:val="00543808"/>
    <w:rsid w:val="00543A28"/>
    <w:rsid w:val="00543BFF"/>
    <w:rsid w:val="0054481C"/>
    <w:rsid w:val="00547B46"/>
    <w:rsid w:val="00550CAA"/>
    <w:rsid w:val="005517AD"/>
    <w:rsid w:val="005537B7"/>
    <w:rsid w:val="00555775"/>
    <w:rsid w:val="00555F58"/>
    <w:rsid w:val="00555FED"/>
    <w:rsid w:val="00556CDB"/>
    <w:rsid w:val="00557D5E"/>
    <w:rsid w:val="005605C3"/>
    <w:rsid w:val="00561D86"/>
    <w:rsid w:val="00561E67"/>
    <w:rsid w:val="00561E78"/>
    <w:rsid w:val="005622A4"/>
    <w:rsid w:val="00562DF0"/>
    <w:rsid w:val="005645D5"/>
    <w:rsid w:val="00566AFE"/>
    <w:rsid w:val="005674AD"/>
    <w:rsid w:val="005675A2"/>
    <w:rsid w:val="00570758"/>
    <w:rsid w:val="00570F73"/>
    <w:rsid w:val="00571386"/>
    <w:rsid w:val="00571FF2"/>
    <w:rsid w:val="005721B9"/>
    <w:rsid w:val="00573038"/>
    <w:rsid w:val="005731BB"/>
    <w:rsid w:val="005732BB"/>
    <w:rsid w:val="00574838"/>
    <w:rsid w:val="005814DB"/>
    <w:rsid w:val="005818BA"/>
    <w:rsid w:val="00581F49"/>
    <w:rsid w:val="00582A54"/>
    <w:rsid w:val="00583A0E"/>
    <w:rsid w:val="00583F5F"/>
    <w:rsid w:val="005841F9"/>
    <w:rsid w:val="00584780"/>
    <w:rsid w:val="005876BA"/>
    <w:rsid w:val="00590B22"/>
    <w:rsid w:val="00591320"/>
    <w:rsid w:val="00591CE3"/>
    <w:rsid w:val="00591D38"/>
    <w:rsid w:val="00591E2A"/>
    <w:rsid w:val="00591E53"/>
    <w:rsid w:val="00591EB7"/>
    <w:rsid w:val="00591F32"/>
    <w:rsid w:val="005935DF"/>
    <w:rsid w:val="005955B2"/>
    <w:rsid w:val="00597589"/>
    <w:rsid w:val="005977BF"/>
    <w:rsid w:val="005A108E"/>
    <w:rsid w:val="005A1893"/>
    <w:rsid w:val="005A5950"/>
    <w:rsid w:val="005A5BCF"/>
    <w:rsid w:val="005A68A7"/>
    <w:rsid w:val="005B05A6"/>
    <w:rsid w:val="005B0748"/>
    <w:rsid w:val="005B08DD"/>
    <w:rsid w:val="005B1B25"/>
    <w:rsid w:val="005B2400"/>
    <w:rsid w:val="005B45FA"/>
    <w:rsid w:val="005B4751"/>
    <w:rsid w:val="005B5647"/>
    <w:rsid w:val="005C0A23"/>
    <w:rsid w:val="005C0E05"/>
    <w:rsid w:val="005C13D5"/>
    <w:rsid w:val="005C277E"/>
    <w:rsid w:val="005C2A62"/>
    <w:rsid w:val="005C2EEF"/>
    <w:rsid w:val="005C3C9C"/>
    <w:rsid w:val="005C3EFD"/>
    <w:rsid w:val="005C4C72"/>
    <w:rsid w:val="005C50F8"/>
    <w:rsid w:val="005C520B"/>
    <w:rsid w:val="005C58E9"/>
    <w:rsid w:val="005C5AFD"/>
    <w:rsid w:val="005C670F"/>
    <w:rsid w:val="005C6873"/>
    <w:rsid w:val="005D2348"/>
    <w:rsid w:val="005D4044"/>
    <w:rsid w:val="005D491C"/>
    <w:rsid w:val="005D4966"/>
    <w:rsid w:val="005D5EFB"/>
    <w:rsid w:val="005D63CE"/>
    <w:rsid w:val="005D79FA"/>
    <w:rsid w:val="005E1786"/>
    <w:rsid w:val="005E1EB1"/>
    <w:rsid w:val="005E2336"/>
    <w:rsid w:val="005E3114"/>
    <w:rsid w:val="005E3394"/>
    <w:rsid w:val="005E46E9"/>
    <w:rsid w:val="005E4764"/>
    <w:rsid w:val="005E6250"/>
    <w:rsid w:val="005F075C"/>
    <w:rsid w:val="005F195E"/>
    <w:rsid w:val="005F2D5B"/>
    <w:rsid w:val="005F2F2A"/>
    <w:rsid w:val="005F35ED"/>
    <w:rsid w:val="005F51A1"/>
    <w:rsid w:val="005F6A2A"/>
    <w:rsid w:val="006000B3"/>
    <w:rsid w:val="00600E33"/>
    <w:rsid w:val="006056D1"/>
    <w:rsid w:val="00606061"/>
    <w:rsid w:val="00606763"/>
    <w:rsid w:val="00610B4F"/>
    <w:rsid w:val="00614560"/>
    <w:rsid w:val="00614630"/>
    <w:rsid w:val="00615453"/>
    <w:rsid w:val="00615E8E"/>
    <w:rsid w:val="00616096"/>
    <w:rsid w:val="006170B7"/>
    <w:rsid w:val="00617409"/>
    <w:rsid w:val="006203DE"/>
    <w:rsid w:val="00621FAA"/>
    <w:rsid w:val="0062449F"/>
    <w:rsid w:val="00624895"/>
    <w:rsid w:val="00624F96"/>
    <w:rsid w:val="00625945"/>
    <w:rsid w:val="00626A42"/>
    <w:rsid w:val="00626B30"/>
    <w:rsid w:val="006270E7"/>
    <w:rsid w:val="00627DE6"/>
    <w:rsid w:val="00630200"/>
    <w:rsid w:val="00630539"/>
    <w:rsid w:val="00631B9B"/>
    <w:rsid w:val="0063245B"/>
    <w:rsid w:val="00632DBB"/>
    <w:rsid w:val="0063365D"/>
    <w:rsid w:val="00634615"/>
    <w:rsid w:val="00634817"/>
    <w:rsid w:val="006371EE"/>
    <w:rsid w:val="00637BE0"/>
    <w:rsid w:val="006417B2"/>
    <w:rsid w:val="0064180F"/>
    <w:rsid w:val="0064269E"/>
    <w:rsid w:val="006447AB"/>
    <w:rsid w:val="00644BD0"/>
    <w:rsid w:val="006475E3"/>
    <w:rsid w:val="00652973"/>
    <w:rsid w:val="00652FF9"/>
    <w:rsid w:val="006531FD"/>
    <w:rsid w:val="00653C43"/>
    <w:rsid w:val="00654FC8"/>
    <w:rsid w:val="00655E5C"/>
    <w:rsid w:val="006563EB"/>
    <w:rsid w:val="006564B7"/>
    <w:rsid w:val="0065668B"/>
    <w:rsid w:val="00657E90"/>
    <w:rsid w:val="0066118B"/>
    <w:rsid w:val="00662413"/>
    <w:rsid w:val="00662513"/>
    <w:rsid w:val="0066257C"/>
    <w:rsid w:val="00662BA5"/>
    <w:rsid w:val="00672B4B"/>
    <w:rsid w:val="00673CC1"/>
    <w:rsid w:val="00673D4F"/>
    <w:rsid w:val="0067712D"/>
    <w:rsid w:val="00680561"/>
    <w:rsid w:val="00683595"/>
    <w:rsid w:val="006835A5"/>
    <w:rsid w:val="00683CCE"/>
    <w:rsid w:val="00685BEE"/>
    <w:rsid w:val="00690C3D"/>
    <w:rsid w:val="006938B9"/>
    <w:rsid w:val="00694186"/>
    <w:rsid w:val="00695D66"/>
    <w:rsid w:val="00696A48"/>
    <w:rsid w:val="00696E66"/>
    <w:rsid w:val="006970D0"/>
    <w:rsid w:val="006A0515"/>
    <w:rsid w:val="006A12B0"/>
    <w:rsid w:val="006A1650"/>
    <w:rsid w:val="006A1C8A"/>
    <w:rsid w:val="006A3012"/>
    <w:rsid w:val="006A35DF"/>
    <w:rsid w:val="006A3C00"/>
    <w:rsid w:val="006A40F7"/>
    <w:rsid w:val="006A4AF5"/>
    <w:rsid w:val="006A679B"/>
    <w:rsid w:val="006A68AE"/>
    <w:rsid w:val="006A6EEA"/>
    <w:rsid w:val="006B05A5"/>
    <w:rsid w:val="006B0B10"/>
    <w:rsid w:val="006B282D"/>
    <w:rsid w:val="006B57A2"/>
    <w:rsid w:val="006B5DC6"/>
    <w:rsid w:val="006B79D4"/>
    <w:rsid w:val="006B7B65"/>
    <w:rsid w:val="006C178C"/>
    <w:rsid w:val="006C271D"/>
    <w:rsid w:val="006C3104"/>
    <w:rsid w:val="006C5DA9"/>
    <w:rsid w:val="006C6031"/>
    <w:rsid w:val="006C7636"/>
    <w:rsid w:val="006C7A96"/>
    <w:rsid w:val="006D0B87"/>
    <w:rsid w:val="006D0CEE"/>
    <w:rsid w:val="006D15EF"/>
    <w:rsid w:val="006D2868"/>
    <w:rsid w:val="006D2EFC"/>
    <w:rsid w:val="006D421E"/>
    <w:rsid w:val="006D4F61"/>
    <w:rsid w:val="006D546E"/>
    <w:rsid w:val="006D6BD4"/>
    <w:rsid w:val="006D7A86"/>
    <w:rsid w:val="006E036B"/>
    <w:rsid w:val="006E0926"/>
    <w:rsid w:val="006E3992"/>
    <w:rsid w:val="006E4DE8"/>
    <w:rsid w:val="006E519F"/>
    <w:rsid w:val="006E64F0"/>
    <w:rsid w:val="006E6C61"/>
    <w:rsid w:val="006F0CCA"/>
    <w:rsid w:val="006F211C"/>
    <w:rsid w:val="006F349F"/>
    <w:rsid w:val="006F4440"/>
    <w:rsid w:val="006F459B"/>
    <w:rsid w:val="006F4DE2"/>
    <w:rsid w:val="006F53B0"/>
    <w:rsid w:val="006F7837"/>
    <w:rsid w:val="00700C23"/>
    <w:rsid w:val="007011DF"/>
    <w:rsid w:val="007012DB"/>
    <w:rsid w:val="00701794"/>
    <w:rsid w:val="00701C77"/>
    <w:rsid w:val="00702446"/>
    <w:rsid w:val="00702C20"/>
    <w:rsid w:val="007037A4"/>
    <w:rsid w:val="00703C91"/>
    <w:rsid w:val="00704F86"/>
    <w:rsid w:val="007103A5"/>
    <w:rsid w:val="00711B61"/>
    <w:rsid w:val="0071247D"/>
    <w:rsid w:val="0071340E"/>
    <w:rsid w:val="0071358B"/>
    <w:rsid w:val="00714072"/>
    <w:rsid w:val="007144B9"/>
    <w:rsid w:val="00715426"/>
    <w:rsid w:val="0071547E"/>
    <w:rsid w:val="00716A61"/>
    <w:rsid w:val="00716DE3"/>
    <w:rsid w:val="00720AA9"/>
    <w:rsid w:val="00721F54"/>
    <w:rsid w:val="00723354"/>
    <w:rsid w:val="00725D79"/>
    <w:rsid w:val="00726CC2"/>
    <w:rsid w:val="00727E89"/>
    <w:rsid w:val="007306C4"/>
    <w:rsid w:val="00730E43"/>
    <w:rsid w:val="00731281"/>
    <w:rsid w:val="00731649"/>
    <w:rsid w:val="00731EC8"/>
    <w:rsid w:val="00732712"/>
    <w:rsid w:val="00732FB8"/>
    <w:rsid w:val="0073380D"/>
    <w:rsid w:val="00736124"/>
    <w:rsid w:val="00736C3D"/>
    <w:rsid w:val="0073787B"/>
    <w:rsid w:val="00737D34"/>
    <w:rsid w:val="00740088"/>
    <w:rsid w:val="007412E2"/>
    <w:rsid w:val="0074208E"/>
    <w:rsid w:val="0074236F"/>
    <w:rsid w:val="007431AC"/>
    <w:rsid w:val="00743D56"/>
    <w:rsid w:val="007451EC"/>
    <w:rsid w:val="00750DBB"/>
    <w:rsid w:val="00751649"/>
    <w:rsid w:val="007538FF"/>
    <w:rsid w:val="00753998"/>
    <w:rsid w:val="00756249"/>
    <w:rsid w:val="00756BA5"/>
    <w:rsid w:val="007571D1"/>
    <w:rsid w:val="00760232"/>
    <w:rsid w:val="00760BFC"/>
    <w:rsid w:val="00761558"/>
    <w:rsid w:val="00761FB4"/>
    <w:rsid w:val="00762835"/>
    <w:rsid w:val="00762855"/>
    <w:rsid w:val="00762FEA"/>
    <w:rsid w:val="00763BC7"/>
    <w:rsid w:val="00765F61"/>
    <w:rsid w:val="007665A3"/>
    <w:rsid w:val="007668DB"/>
    <w:rsid w:val="007679B4"/>
    <w:rsid w:val="00772607"/>
    <w:rsid w:val="00772E6E"/>
    <w:rsid w:val="0077379D"/>
    <w:rsid w:val="007740C3"/>
    <w:rsid w:val="00774214"/>
    <w:rsid w:val="00774829"/>
    <w:rsid w:val="00775BBD"/>
    <w:rsid w:val="0077634E"/>
    <w:rsid w:val="00776512"/>
    <w:rsid w:val="00776756"/>
    <w:rsid w:val="00777B93"/>
    <w:rsid w:val="0078004B"/>
    <w:rsid w:val="00781746"/>
    <w:rsid w:val="00782717"/>
    <w:rsid w:val="0078371C"/>
    <w:rsid w:val="0078372B"/>
    <w:rsid w:val="00783F44"/>
    <w:rsid w:val="00784ADF"/>
    <w:rsid w:val="00787B44"/>
    <w:rsid w:val="0079001C"/>
    <w:rsid w:val="00790E45"/>
    <w:rsid w:val="00793ED6"/>
    <w:rsid w:val="007966D1"/>
    <w:rsid w:val="00797552"/>
    <w:rsid w:val="007A17B3"/>
    <w:rsid w:val="007A2225"/>
    <w:rsid w:val="007A3163"/>
    <w:rsid w:val="007A3896"/>
    <w:rsid w:val="007A3945"/>
    <w:rsid w:val="007A3B7B"/>
    <w:rsid w:val="007A3C3A"/>
    <w:rsid w:val="007A5467"/>
    <w:rsid w:val="007A61C2"/>
    <w:rsid w:val="007A7CF4"/>
    <w:rsid w:val="007A7EF1"/>
    <w:rsid w:val="007B09D3"/>
    <w:rsid w:val="007B0C6C"/>
    <w:rsid w:val="007B0FD9"/>
    <w:rsid w:val="007B3F34"/>
    <w:rsid w:val="007B42C3"/>
    <w:rsid w:val="007B55CB"/>
    <w:rsid w:val="007B5C0A"/>
    <w:rsid w:val="007B65C2"/>
    <w:rsid w:val="007B768D"/>
    <w:rsid w:val="007C25B7"/>
    <w:rsid w:val="007C2B88"/>
    <w:rsid w:val="007C423C"/>
    <w:rsid w:val="007C45E3"/>
    <w:rsid w:val="007C4814"/>
    <w:rsid w:val="007C50A7"/>
    <w:rsid w:val="007C65A8"/>
    <w:rsid w:val="007C667B"/>
    <w:rsid w:val="007C7223"/>
    <w:rsid w:val="007C7EC1"/>
    <w:rsid w:val="007D1C51"/>
    <w:rsid w:val="007D23C8"/>
    <w:rsid w:val="007D4DB8"/>
    <w:rsid w:val="007D5A0B"/>
    <w:rsid w:val="007D67EE"/>
    <w:rsid w:val="007D6C9F"/>
    <w:rsid w:val="007D7604"/>
    <w:rsid w:val="007E15D1"/>
    <w:rsid w:val="007E2BA5"/>
    <w:rsid w:val="007E32F5"/>
    <w:rsid w:val="007E35B7"/>
    <w:rsid w:val="007E5BED"/>
    <w:rsid w:val="007E7A23"/>
    <w:rsid w:val="007E7C2C"/>
    <w:rsid w:val="007F02F1"/>
    <w:rsid w:val="007F23B1"/>
    <w:rsid w:val="007F36AD"/>
    <w:rsid w:val="00801785"/>
    <w:rsid w:val="00801F1F"/>
    <w:rsid w:val="008023E3"/>
    <w:rsid w:val="00802BC0"/>
    <w:rsid w:val="00802E82"/>
    <w:rsid w:val="00803D57"/>
    <w:rsid w:val="00804E1F"/>
    <w:rsid w:val="0080654B"/>
    <w:rsid w:val="00806C1C"/>
    <w:rsid w:val="00807698"/>
    <w:rsid w:val="00807913"/>
    <w:rsid w:val="00811C17"/>
    <w:rsid w:val="0081249F"/>
    <w:rsid w:val="00814689"/>
    <w:rsid w:val="00814714"/>
    <w:rsid w:val="00821264"/>
    <w:rsid w:val="00821D53"/>
    <w:rsid w:val="00824454"/>
    <w:rsid w:val="0082557B"/>
    <w:rsid w:val="008257DC"/>
    <w:rsid w:val="00825EE4"/>
    <w:rsid w:val="00826757"/>
    <w:rsid w:val="00826A53"/>
    <w:rsid w:val="008306B3"/>
    <w:rsid w:val="00831E94"/>
    <w:rsid w:val="00832A1F"/>
    <w:rsid w:val="008341E9"/>
    <w:rsid w:val="0083431A"/>
    <w:rsid w:val="00835794"/>
    <w:rsid w:val="00835B97"/>
    <w:rsid w:val="00836C9D"/>
    <w:rsid w:val="00836ED0"/>
    <w:rsid w:val="0084077C"/>
    <w:rsid w:val="0084119E"/>
    <w:rsid w:val="00842840"/>
    <w:rsid w:val="00842AE4"/>
    <w:rsid w:val="008438FD"/>
    <w:rsid w:val="008442AF"/>
    <w:rsid w:val="00844C7C"/>
    <w:rsid w:val="008467A4"/>
    <w:rsid w:val="008467F6"/>
    <w:rsid w:val="00846CFF"/>
    <w:rsid w:val="00847375"/>
    <w:rsid w:val="008478C0"/>
    <w:rsid w:val="00851C06"/>
    <w:rsid w:val="0085230A"/>
    <w:rsid w:val="0085555A"/>
    <w:rsid w:val="00855D70"/>
    <w:rsid w:val="00856141"/>
    <w:rsid w:val="00857A66"/>
    <w:rsid w:val="0086073D"/>
    <w:rsid w:val="00862088"/>
    <w:rsid w:val="00863311"/>
    <w:rsid w:val="00863D7C"/>
    <w:rsid w:val="00863E4A"/>
    <w:rsid w:val="008655F8"/>
    <w:rsid w:val="00866037"/>
    <w:rsid w:val="0087137B"/>
    <w:rsid w:val="00871B2D"/>
    <w:rsid w:val="008721E6"/>
    <w:rsid w:val="00874539"/>
    <w:rsid w:val="00874940"/>
    <w:rsid w:val="008755DB"/>
    <w:rsid w:val="0087573C"/>
    <w:rsid w:val="00876706"/>
    <w:rsid w:val="0087725B"/>
    <w:rsid w:val="00877949"/>
    <w:rsid w:val="00880289"/>
    <w:rsid w:val="0088106D"/>
    <w:rsid w:val="00881235"/>
    <w:rsid w:val="00882633"/>
    <w:rsid w:val="0088361A"/>
    <w:rsid w:val="00883772"/>
    <w:rsid w:val="00887B03"/>
    <w:rsid w:val="00887C6B"/>
    <w:rsid w:val="008906D7"/>
    <w:rsid w:val="00890ECF"/>
    <w:rsid w:val="00891D17"/>
    <w:rsid w:val="00892A97"/>
    <w:rsid w:val="00893991"/>
    <w:rsid w:val="008970CA"/>
    <w:rsid w:val="008A1CDD"/>
    <w:rsid w:val="008A23C3"/>
    <w:rsid w:val="008A2587"/>
    <w:rsid w:val="008A333C"/>
    <w:rsid w:val="008A4E15"/>
    <w:rsid w:val="008A4E9F"/>
    <w:rsid w:val="008A55F4"/>
    <w:rsid w:val="008A620B"/>
    <w:rsid w:val="008A6404"/>
    <w:rsid w:val="008B3151"/>
    <w:rsid w:val="008B3252"/>
    <w:rsid w:val="008B5306"/>
    <w:rsid w:val="008B6560"/>
    <w:rsid w:val="008B6989"/>
    <w:rsid w:val="008B6A62"/>
    <w:rsid w:val="008B72C5"/>
    <w:rsid w:val="008B7F21"/>
    <w:rsid w:val="008C074D"/>
    <w:rsid w:val="008C0A74"/>
    <w:rsid w:val="008C0DA4"/>
    <w:rsid w:val="008C1BC1"/>
    <w:rsid w:val="008C2719"/>
    <w:rsid w:val="008C3142"/>
    <w:rsid w:val="008C3889"/>
    <w:rsid w:val="008C3D53"/>
    <w:rsid w:val="008C404E"/>
    <w:rsid w:val="008C468C"/>
    <w:rsid w:val="008C689D"/>
    <w:rsid w:val="008C7DD5"/>
    <w:rsid w:val="008D1903"/>
    <w:rsid w:val="008D60BC"/>
    <w:rsid w:val="008D617E"/>
    <w:rsid w:val="008D6D1F"/>
    <w:rsid w:val="008E1419"/>
    <w:rsid w:val="008E34D0"/>
    <w:rsid w:val="008E48C5"/>
    <w:rsid w:val="008E6799"/>
    <w:rsid w:val="008E7873"/>
    <w:rsid w:val="008F20BA"/>
    <w:rsid w:val="008F3120"/>
    <w:rsid w:val="008F4872"/>
    <w:rsid w:val="008F5023"/>
    <w:rsid w:val="008F6B7E"/>
    <w:rsid w:val="00900D16"/>
    <w:rsid w:val="00901D16"/>
    <w:rsid w:val="00901D75"/>
    <w:rsid w:val="00902074"/>
    <w:rsid w:val="00902B17"/>
    <w:rsid w:val="00902D78"/>
    <w:rsid w:val="00902E09"/>
    <w:rsid w:val="00902F84"/>
    <w:rsid w:val="0090328D"/>
    <w:rsid w:val="00903A76"/>
    <w:rsid w:val="00904368"/>
    <w:rsid w:val="009045B4"/>
    <w:rsid w:val="00905057"/>
    <w:rsid w:val="009052FF"/>
    <w:rsid w:val="009056AB"/>
    <w:rsid w:val="009058B5"/>
    <w:rsid w:val="00906F99"/>
    <w:rsid w:val="00907CFE"/>
    <w:rsid w:val="00910723"/>
    <w:rsid w:val="0091177B"/>
    <w:rsid w:val="0091204B"/>
    <w:rsid w:val="0091208E"/>
    <w:rsid w:val="00912E84"/>
    <w:rsid w:val="00914715"/>
    <w:rsid w:val="00914D76"/>
    <w:rsid w:val="009164DD"/>
    <w:rsid w:val="009168E7"/>
    <w:rsid w:val="0091784F"/>
    <w:rsid w:val="0091786C"/>
    <w:rsid w:val="00922CE0"/>
    <w:rsid w:val="00922FDB"/>
    <w:rsid w:val="00923241"/>
    <w:rsid w:val="009232E6"/>
    <w:rsid w:val="00925786"/>
    <w:rsid w:val="00926259"/>
    <w:rsid w:val="00926AB0"/>
    <w:rsid w:val="009272DF"/>
    <w:rsid w:val="00930671"/>
    <w:rsid w:val="00931D95"/>
    <w:rsid w:val="00933317"/>
    <w:rsid w:val="00933BF6"/>
    <w:rsid w:val="00933F59"/>
    <w:rsid w:val="00934156"/>
    <w:rsid w:val="00934455"/>
    <w:rsid w:val="009346F4"/>
    <w:rsid w:val="00936EE6"/>
    <w:rsid w:val="00936EF8"/>
    <w:rsid w:val="0093733B"/>
    <w:rsid w:val="00940924"/>
    <w:rsid w:val="009411C8"/>
    <w:rsid w:val="0094130E"/>
    <w:rsid w:val="0094310F"/>
    <w:rsid w:val="00946CBB"/>
    <w:rsid w:val="00947197"/>
    <w:rsid w:val="00947629"/>
    <w:rsid w:val="009519AD"/>
    <w:rsid w:val="00951AD1"/>
    <w:rsid w:val="00952F16"/>
    <w:rsid w:val="009538E6"/>
    <w:rsid w:val="00954331"/>
    <w:rsid w:val="00955223"/>
    <w:rsid w:val="00955353"/>
    <w:rsid w:val="0095794C"/>
    <w:rsid w:val="00957BAC"/>
    <w:rsid w:val="00960673"/>
    <w:rsid w:val="00961902"/>
    <w:rsid w:val="009619BC"/>
    <w:rsid w:val="009624AF"/>
    <w:rsid w:val="00962DD7"/>
    <w:rsid w:val="00964DCA"/>
    <w:rsid w:val="009659FB"/>
    <w:rsid w:val="00966739"/>
    <w:rsid w:val="00966E30"/>
    <w:rsid w:val="00967798"/>
    <w:rsid w:val="009702C8"/>
    <w:rsid w:val="009704E4"/>
    <w:rsid w:val="00970694"/>
    <w:rsid w:val="009712CE"/>
    <w:rsid w:val="0097171E"/>
    <w:rsid w:val="00971793"/>
    <w:rsid w:val="00971E23"/>
    <w:rsid w:val="00972614"/>
    <w:rsid w:val="0097266F"/>
    <w:rsid w:val="009738A2"/>
    <w:rsid w:val="009747B1"/>
    <w:rsid w:val="009748FA"/>
    <w:rsid w:val="009763BF"/>
    <w:rsid w:val="0097678B"/>
    <w:rsid w:val="00977032"/>
    <w:rsid w:val="009775C7"/>
    <w:rsid w:val="00977E6B"/>
    <w:rsid w:val="009839E2"/>
    <w:rsid w:val="00985D65"/>
    <w:rsid w:val="009861A5"/>
    <w:rsid w:val="00987218"/>
    <w:rsid w:val="0099065E"/>
    <w:rsid w:val="009913C2"/>
    <w:rsid w:val="009917B7"/>
    <w:rsid w:val="009924D4"/>
    <w:rsid w:val="00992DB4"/>
    <w:rsid w:val="0099311F"/>
    <w:rsid w:val="0099412E"/>
    <w:rsid w:val="0099502E"/>
    <w:rsid w:val="00995446"/>
    <w:rsid w:val="0099569F"/>
    <w:rsid w:val="009965C2"/>
    <w:rsid w:val="009A0289"/>
    <w:rsid w:val="009A1339"/>
    <w:rsid w:val="009A1C53"/>
    <w:rsid w:val="009A1D66"/>
    <w:rsid w:val="009A218E"/>
    <w:rsid w:val="009A2E14"/>
    <w:rsid w:val="009A2F55"/>
    <w:rsid w:val="009A3858"/>
    <w:rsid w:val="009A4C7E"/>
    <w:rsid w:val="009A5E17"/>
    <w:rsid w:val="009A6300"/>
    <w:rsid w:val="009B1463"/>
    <w:rsid w:val="009B1736"/>
    <w:rsid w:val="009B2860"/>
    <w:rsid w:val="009B6B1E"/>
    <w:rsid w:val="009B6F97"/>
    <w:rsid w:val="009C0397"/>
    <w:rsid w:val="009C1E69"/>
    <w:rsid w:val="009C22BE"/>
    <w:rsid w:val="009C2E7C"/>
    <w:rsid w:val="009C3104"/>
    <w:rsid w:val="009C32DF"/>
    <w:rsid w:val="009C388D"/>
    <w:rsid w:val="009C4C58"/>
    <w:rsid w:val="009C5E09"/>
    <w:rsid w:val="009C6428"/>
    <w:rsid w:val="009C6DB8"/>
    <w:rsid w:val="009C773E"/>
    <w:rsid w:val="009D055C"/>
    <w:rsid w:val="009D28A7"/>
    <w:rsid w:val="009D2A51"/>
    <w:rsid w:val="009D42CF"/>
    <w:rsid w:val="009D45A8"/>
    <w:rsid w:val="009E231A"/>
    <w:rsid w:val="009E2F64"/>
    <w:rsid w:val="009E3FB3"/>
    <w:rsid w:val="009E4518"/>
    <w:rsid w:val="009E54FB"/>
    <w:rsid w:val="009E6160"/>
    <w:rsid w:val="009F0AD9"/>
    <w:rsid w:val="009F0D93"/>
    <w:rsid w:val="009F14F8"/>
    <w:rsid w:val="009F1ABB"/>
    <w:rsid w:val="009F1F98"/>
    <w:rsid w:val="009F2540"/>
    <w:rsid w:val="009F25D0"/>
    <w:rsid w:val="009F367A"/>
    <w:rsid w:val="009F3844"/>
    <w:rsid w:val="009F4FC7"/>
    <w:rsid w:val="00A00C84"/>
    <w:rsid w:val="00A0109A"/>
    <w:rsid w:val="00A05001"/>
    <w:rsid w:val="00A06053"/>
    <w:rsid w:val="00A06F2C"/>
    <w:rsid w:val="00A0717C"/>
    <w:rsid w:val="00A071F8"/>
    <w:rsid w:val="00A1019A"/>
    <w:rsid w:val="00A10E2B"/>
    <w:rsid w:val="00A11B0C"/>
    <w:rsid w:val="00A12032"/>
    <w:rsid w:val="00A13173"/>
    <w:rsid w:val="00A13645"/>
    <w:rsid w:val="00A14D4F"/>
    <w:rsid w:val="00A15AD0"/>
    <w:rsid w:val="00A16557"/>
    <w:rsid w:val="00A1658D"/>
    <w:rsid w:val="00A17B12"/>
    <w:rsid w:val="00A2057E"/>
    <w:rsid w:val="00A22B77"/>
    <w:rsid w:val="00A23206"/>
    <w:rsid w:val="00A265D5"/>
    <w:rsid w:val="00A2670B"/>
    <w:rsid w:val="00A2676C"/>
    <w:rsid w:val="00A2722A"/>
    <w:rsid w:val="00A30084"/>
    <w:rsid w:val="00A300F6"/>
    <w:rsid w:val="00A30AF8"/>
    <w:rsid w:val="00A32519"/>
    <w:rsid w:val="00A35232"/>
    <w:rsid w:val="00A3548B"/>
    <w:rsid w:val="00A370C8"/>
    <w:rsid w:val="00A37CAA"/>
    <w:rsid w:val="00A40B79"/>
    <w:rsid w:val="00A411D5"/>
    <w:rsid w:val="00A41B4A"/>
    <w:rsid w:val="00A41B7E"/>
    <w:rsid w:val="00A42C71"/>
    <w:rsid w:val="00A4569A"/>
    <w:rsid w:val="00A50895"/>
    <w:rsid w:val="00A5176E"/>
    <w:rsid w:val="00A54A30"/>
    <w:rsid w:val="00A5560F"/>
    <w:rsid w:val="00A55996"/>
    <w:rsid w:val="00A56EE8"/>
    <w:rsid w:val="00A57050"/>
    <w:rsid w:val="00A5792B"/>
    <w:rsid w:val="00A5798B"/>
    <w:rsid w:val="00A60627"/>
    <w:rsid w:val="00A60832"/>
    <w:rsid w:val="00A60C69"/>
    <w:rsid w:val="00A65099"/>
    <w:rsid w:val="00A670A0"/>
    <w:rsid w:val="00A678DD"/>
    <w:rsid w:val="00A73318"/>
    <w:rsid w:val="00A7511B"/>
    <w:rsid w:val="00A759B2"/>
    <w:rsid w:val="00A77689"/>
    <w:rsid w:val="00A8097A"/>
    <w:rsid w:val="00A83136"/>
    <w:rsid w:val="00A851E5"/>
    <w:rsid w:val="00A87C5F"/>
    <w:rsid w:val="00A90638"/>
    <w:rsid w:val="00A92B7C"/>
    <w:rsid w:val="00A930D7"/>
    <w:rsid w:val="00A93A9F"/>
    <w:rsid w:val="00A93E67"/>
    <w:rsid w:val="00A95A2C"/>
    <w:rsid w:val="00A96FBF"/>
    <w:rsid w:val="00A97659"/>
    <w:rsid w:val="00AA04E7"/>
    <w:rsid w:val="00AA1238"/>
    <w:rsid w:val="00AA1967"/>
    <w:rsid w:val="00AA1DDC"/>
    <w:rsid w:val="00AA2692"/>
    <w:rsid w:val="00AA44D4"/>
    <w:rsid w:val="00AA5949"/>
    <w:rsid w:val="00AB1E4E"/>
    <w:rsid w:val="00AB2891"/>
    <w:rsid w:val="00AB293C"/>
    <w:rsid w:val="00AB3D00"/>
    <w:rsid w:val="00AB4091"/>
    <w:rsid w:val="00AB42C6"/>
    <w:rsid w:val="00AB6C77"/>
    <w:rsid w:val="00AB73DD"/>
    <w:rsid w:val="00AB74E3"/>
    <w:rsid w:val="00AB7AFD"/>
    <w:rsid w:val="00AB7B7A"/>
    <w:rsid w:val="00AC142C"/>
    <w:rsid w:val="00AC38DC"/>
    <w:rsid w:val="00AC4AC7"/>
    <w:rsid w:val="00AC4F22"/>
    <w:rsid w:val="00AC5497"/>
    <w:rsid w:val="00AC648C"/>
    <w:rsid w:val="00AC6E16"/>
    <w:rsid w:val="00AC79A9"/>
    <w:rsid w:val="00AC7CCB"/>
    <w:rsid w:val="00AD1158"/>
    <w:rsid w:val="00AD1238"/>
    <w:rsid w:val="00AD173F"/>
    <w:rsid w:val="00AD17F8"/>
    <w:rsid w:val="00AD1C5D"/>
    <w:rsid w:val="00AD3CF1"/>
    <w:rsid w:val="00AD43CD"/>
    <w:rsid w:val="00AD48D8"/>
    <w:rsid w:val="00AD4D89"/>
    <w:rsid w:val="00AD5FF8"/>
    <w:rsid w:val="00AD678B"/>
    <w:rsid w:val="00AD69F4"/>
    <w:rsid w:val="00AD79BC"/>
    <w:rsid w:val="00AE01A8"/>
    <w:rsid w:val="00AE03DC"/>
    <w:rsid w:val="00AE055A"/>
    <w:rsid w:val="00AE1D85"/>
    <w:rsid w:val="00AE2161"/>
    <w:rsid w:val="00AE2E10"/>
    <w:rsid w:val="00AE312C"/>
    <w:rsid w:val="00AE31AE"/>
    <w:rsid w:val="00AE48A3"/>
    <w:rsid w:val="00AE7935"/>
    <w:rsid w:val="00AF1005"/>
    <w:rsid w:val="00AF1824"/>
    <w:rsid w:val="00AF1A53"/>
    <w:rsid w:val="00AF4025"/>
    <w:rsid w:val="00AF46D9"/>
    <w:rsid w:val="00AF4AB2"/>
    <w:rsid w:val="00AF4EE9"/>
    <w:rsid w:val="00AF5A53"/>
    <w:rsid w:val="00AF5CBC"/>
    <w:rsid w:val="00AF6116"/>
    <w:rsid w:val="00AF66CA"/>
    <w:rsid w:val="00B011CC"/>
    <w:rsid w:val="00B01223"/>
    <w:rsid w:val="00B01DE9"/>
    <w:rsid w:val="00B01E3C"/>
    <w:rsid w:val="00B021CC"/>
    <w:rsid w:val="00B0285C"/>
    <w:rsid w:val="00B02EAA"/>
    <w:rsid w:val="00B02EEE"/>
    <w:rsid w:val="00B03261"/>
    <w:rsid w:val="00B03397"/>
    <w:rsid w:val="00B03481"/>
    <w:rsid w:val="00B03B04"/>
    <w:rsid w:val="00B0436A"/>
    <w:rsid w:val="00B04B63"/>
    <w:rsid w:val="00B057A2"/>
    <w:rsid w:val="00B06748"/>
    <w:rsid w:val="00B0690F"/>
    <w:rsid w:val="00B06ABD"/>
    <w:rsid w:val="00B07E57"/>
    <w:rsid w:val="00B103B1"/>
    <w:rsid w:val="00B107AE"/>
    <w:rsid w:val="00B13137"/>
    <w:rsid w:val="00B137BA"/>
    <w:rsid w:val="00B13B5C"/>
    <w:rsid w:val="00B15BF3"/>
    <w:rsid w:val="00B16101"/>
    <w:rsid w:val="00B16899"/>
    <w:rsid w:val="00B1704F"/>
    <w:rsid w:val="00B17756"/>
    <w:rsid w:val="00B17C84"/>
    <w:rsid w:val="00B20BBA"/>
    <w:rsid w:val="00B21A6F"/>
    <w:rsid w:val="00B27020"/>
    <w:rsid w:val="00B27A93"/>
    <w:rsid w:val="00B30117"/>
    <w:rsid w:val="00B306D2"/>
    <w:rsid w:val="00B312E4"/>
    <w:rsid w:val="00B314D5"/>
    <w:rsid w:val="00B31A43"/>
    <w:rsid w:val="00B31CF0"/>
    <w:rsid w:val="00B32CD1"/>
    <w:rsid w:val="00B33C76"/>
    <w:rsid w:val="00B346B2"/>
    <w:rsid w:val="00B36BC0"/>
    <w:rsid w:val="00B3720C"/>
    <w:rsid w:val="00B37B40"/>
    <w:rsid w:val="00B37B51"/>
    <w:rsid w:val="00B41272"/>
    <w:rsid w:val="00B4196F"/>
    <w:rsid w:val="00B42ACA"/>
    <w:rsid w:val="00B43312"/>
    <w:rsid w:val="00B44CDA"/>
    <w:rsid w:val="00B44E57"/>
    <w:rsid w:val="00B4543B"/>
    <w:rsid w:val="00B46B07"/>
    <w:rsid w:val="00B46BE3"/>
    <w:rsid w:val="00B46CA6"/>
    <w:rsid w:val="00B51D05"/>
    <w:rsid w:val="00B52551"/>
    <w:rsid w:val="00B544B3"/>
    <w:rsid w:val="00B55214"/>
    <w:rsid w:val="00B5630A"/>
    <w:rsid w:val="00B57096"/>
    <w:rsid w:val="00B5777E"/>
    <w:rsid w:val="00B61508"/>
    <w:rsid w:val="00B615BD"/>
    <w:rsid w:val="00B61A85"/>
    <w:rsid w:val="00B623DA"/>
    <w:rsid w:val="00B65B98"/>
    <w:rsid w:val="00B67FD5"/>
    <w:rsid w:val="00B71237"/>
    <w:rsid w:val="00B71261"/>
    <w:rsid w:val="00B71EA4"/>
    <w:rsid w:val="00B72DC9"/>
    <w:rsid w:val="00B7371E"/>
    <w:rsid w:val="00B74640"/>
    <w:rsid w:val="00B75928"/>
    <w:rsid w:val="00B76765"/>
    <w:rsid w:val="00B811FB"/>
    <w:rsid w:val="00B82282"/>
    <w:rsid w:val="00B839A5"/>
    <w:rsid w:val="00B83EE3"/>
    <w:rsid w:val="00B850C5"/>
    <w:rsid w:val="00B85CAC"/>
    <w:rsid w:val="00B861A3"/>
    <w:rsid w:val="00B86472"/>
    <w:rsid w:val="00B86D06"/>
    <w:rsid w:val="00B86E0F"/>
    <w:rsid w:val="00B87EE3"/>
    <w:rsid w:val="00B90179"/>
    <w:rsid w:val="00B9024E"/>
    <w:rsid w:val="00B913CC"/>
    <w:rsid w:val="00B91D35"/>
    <w:rsid w:val="00B929D9"/>
    <w:rsid w:val="00B929E6"/>
    <w:rsid w:val="00B9569C"/>
    <w:rsid w:val="00B9689D"/>
    <w:rsid w:val="00B9797B"/>
    <w:rsid w:val="00B97989"/>
    <w:rsid w:val="00BA04FF"/>
    <w:rsid w:val="00BA3023"/>
    <w:rsid w:val="00BA335F"/>
    <w:rsid w:val="00BA41DC"/>
    <w:rsid w:val="00BA5A78"/>
    <w:rsid w:val="00BA6320"/>
    <w:rsid w:val="00BA6D5A"/>
    <w:rsid w:val="00BA6EAA"/>
    <w:rsid w:val="00BA6F9E"/>
    <w:rsid w:val="00BA7CEA"/>
    <w:rsid w:val="00BB0562"/>
    <w:rsid w:val="00BB225A"/>
    <w:rsid w:val="00BB2294"/>
    <w:rsid w:val="00BB2704"/>
    <w:rsid w:val="00BB4BCC"/>
    <w:rsid w:val="00BB5088"/>
    <w:rsid w:val="00BB62E7"/>
    <w:rsid w:val="00BB6A67"/>
    <w:rsid w:val="00BB6B2D"/>
    <w:rsid w:val="00BB6C41"/>
    <w:rsid w:val="00BB728E"/>
    <w:rsid w:val="00BB738F"/>
    <w:rsid w:val="00BB7A6C"/>
    <w:rsid w:val="00BB7B27"/>
    <w:rsid w:val="00BC0A87"/>
    <w:rsid w:val="00BC1757"/>
    <w:rsid w:val="00BC184B"/>
    <w:rsid w:val="00BC3666"/>
    <w:rsid w:val="00BC5861"/>
    <w:rsid w:val="00BC726C"/>
    <w:rsid w:val="00BC7F69"/>
    <w:rsid w:val="00BD148E"/>
    <w:rsid w:val="00BD4804"/>
    <w:rsid w:val="00BD4C1C"/>
    <w:rsid w:val="00BD4C8F"/>
    <w:rsid w:val="00BD7320"/>
    <w:rsid w:val="00BE05DD"/>
    <w:rsid w:val="00BE3528"/>
    <w:rsid w:val="00BE3A11"/>
    <w:rsid w:val="00BE3D83"/>
    <w:rsid w:val="00BE3DA4"/>
    <w:rsid w:val="00BE42B9"/>
    <w:rsid w:val="00BE4507"/>
    <w:rsid w:val="00BE55B7"/>
    <w:rsid w:val="00BE5A71"/>
    <w:rsid w:val="00BE5DCB"/>
    <w:rsid w:val="00BE614C"/>
    <w:rsid w:val="00BE615A"/>
    <w:rsid w:val="00BE71F5"/>
    <w:rsid w:val="00BE74E9"/>
    <w:rsid w:val="00BE799B"/>
    <w:rsid w:val="00BF1274"/>
    <w:rsid w:val="00BF12B1"/>
    <w:rsid w:val="00BF193B"/>
    <w:rsid w:val="00BF1BDD"/>
    <w:rsid w:val="00BF2E81"/>
    <w:rsid w:val="00BF44CF"/>
    <w:rsid w:val="00BF690E"/>
    <w:rsid w:val="00BF7284"/>
    <w:rsid w:val="00C00D20"/>
    <w:rsid w:val="00C00F44"/>
    <w:rsid w:val="00C044A2"/>
    <w:rsid w:val="00C05334"/>
    <w:rsid w:val="00C053D5"/>
    <w:rsid w:val="00C05F99"/>
    <w:rsid w:val="00C10030"/>
    <w:rsid w:val="00C11154"/>
    <w:rsid w:val="00C16AE6"/>
    <w:rsid w:val="00C173E8"/>
    <w:rsid w:val="00C17DE5"/>
    <w:rsid w:val="00C20F5B"/>
    <w:rsid w:val="00C219A0"/>
    <w:rsid w:val="00C21ED0"/>
    <w:rsid w:val="00C22BCC"/>
    <w:rsid w:val="00C238B2"/>
    <w:rsid w:val="00C2454D"/>
    <w:rsid w:val="00C24566"/>
    <w:rsid w:val="00C2527B"/>
    <w:rsid w:val="00C25488"/>
    <w:rsid w:val="00C25966"/>
    <w:rsid w:val="00C263A6"/>
    <w:rsid w:val="00C26827"/>
    <w:rsid w:val="00C26E8A"/>
    <w:rsid w:val="00C27A2A"/>
    <w:rsid w:val="00C27FB1"/>
    <w:rsid w:val="00C30EC6"/>
    <w:rsid w:val="00C3184C"/>
    <w:rsid w:val="00C32033"/>
    <w:rsid w:val="00C3365C"/>
    <w:rsid w:val="00C33B3B"/>
    <w:rsid w:val="00C36862"/>
    <w:rsid w:val="00C36F7E"/>
    <w:rsid w:val="00C3703B"/>
    <w:rsid w:val="00C40215"/>
    <w:rsid w:val="00C41765"/>
    <w:rsid w:val="00C423D4"/>
    <w:rsid w:val="00C428F5"/>
    <w:rsid w:val="00C44656"/>
    <w:rsid w:val="00C44734"/>
    <w:rsid w:val="00C45402"/>
    <w:rsid w:val="00C45556"/>
    <w:rsid w:val="00C51666"/>
    <w:rsid w:val="00C51C9F"/>
    <w:rsid w:val="00C51F5C"/>
    <w:rsid w:val="00C5220C"/>
    <w:rsid w:val="00C5378E"/>
    <w:rsid w:val="00C538A4"/>
    <w:rsid w:val="00C53A2F"/>
    <w:rsid w:val="00C54125"/>
    <w:rsid w:val="00C5444E"/>
    <w:rsid w:val="00C56620"/>
    <w:rsid w:val="00C57854"/>
    <w:rsid w:val="00C61846"/>
    <w:rsid w:val="00C6286F"/>
    <w:rsid w:val="00C62880"/>
    <w:rsid w:val="00C63294"/>
    <w:rsid w:val="00C63E27"/>
    <w:rsid w:val="00C640BA"/>
    <w:rsid w:val="00C65431"/>
    <w:rsid w:val="00C668CB"/>
    <w:rsid w:val="00C66BA6"/>
    <w:rsid w:val="00C66E8A"/>
    <w:rsid w:val="00C678A1"/>
    <w:rsid w:val="00C67C08"/>
    <w:rsid w:val="00C77DC6"/>
    <w:rsid w:val="00C80472"/>
    <w:rsid w:val="00C8177B"/>
    <w:rsid w:val="00C818C1"/>
    <w:rsid w:val="00C8221C"/>
    <w:rsid w:val="00C83D73"/>
    <w:rsid w:val="00C86E81"/>
    <w:rsid w:val="00C90374"/>
    <w:rsid w:val="00C91485"/>
    <w:rsid w:val="00C91A51"/>
    <w:rsid w:val="00C92352"/>
    <w:rsid w:val="00C9249C"/>
    <w:rsid w:val="00C926F0"/>
    <w:rsid w:val="00C94C35"/>
    <w:rsid w:val="00C96E02"/>
    <w:rsid w:val="00C9704D"/>
    <w:rsid w:val="00C9777B"/>
    <w:rsid w:val="00CA02CA"/>
    <w:rsid w:val="00CA22C2"/>
    <w:rsid w:val="00CA28C7"/>
    <w:rsid w:val="00CA3754"/>
    <w:rsid w:val="00CA4C6A"/>
    <w:rsid w:val="00CA5EEB"/>
    <w:rsid w:val="00CA655D"/>
    <w:rsid w:val="00CA6A33"/>
    <w:rsid w:val="00CA7395"/>
    <w:rsid w:val="00CB03B0"/>
    <w:rsid w:val="00CB091B"/>
    <w:rsid w:val="00CB097B"/>
    <w:rsid w:val="00CB0EDA"/>
    <w:rsid w:val="00CB1373"/>
    <w:rsid w:val="00CB1B79"/>
    <w:rsid w:val="00CB1FDE"/>
    <w:rsid w:val="00CB2165"/>
    <w:rsid w:val="00CB28F4"/>
    <w:rsid w:val="00CB365A"/>
    <w:rsid w:val="00CB3780"/>
    <w:rsid w:val="00CB4086"/>
    <w:rsid w:val="00CB67D2"/>
    <w:rsid w:val="00CC0650"/>
    <w:rsid w:val="00CC23F3"/>
    <w:rsid w:val="00CC377B"/>
    <w:rsid w:val="00CC54A5"/>
    <w:rsid w:val="00CC7AE3"/>
    <w:rsid w:val="00CC7C66"/>
    <w:rsid w:val="00CD0C66"/>
    <w:rsid w:val="00CD2605"/>
    <w:rsid w:val="00CD2663"/>
    <w:rsid w:val="00CD4CC2"/>
    <w:rsid w:val="00CD5B5D"/>
    <w:rsid w:val="00CD5F32"/>
    <w:rsid w:val="00CE088E"/>
    <w:rsid w:val="00CE1626"/>
    <w:rsid w:val="00CE248F"/>
    <w:rsid w:val="00CE4291"/>
    <w:rsid w:val="00CE4449"/>
    <w:rsid w:val="00CE65E3"/>
    <w:rsid w:val="00CF0F45"/>
    <w:rsid w:val="00CF1F1E"/>
    <w:rsid w:val="00CF35A9"/>
    <w:rsid w:val="00CF3D6A"/>
    <w:rsid w:val="00CF4409"/>
    <w:rsid w:val="00D007BF"/>
    <w:rsid w:val="00D026AC"/>
    <w:rsid w:val="00D02E5D"/>
    <w:rsid w:val="00D03CC4"/>
    <w:rsid w:val="00D03DD1"/>
    <w:rsid w:val="00D046D7"/>
    <w:rsid w:val="00D056F3"/>
    <w:rsid w:val="00D06091"/>
    <w:rsid w:val="00D0674C"/>
    <w:rsid w:val="00D0743B"/>
    <w:rsid w:val="00D107AE"/>
    <w:rsid w:val="00D123B0"/>
    <w:rsid w:val="00D12E2D"/>
    <w:rsid w:val="00D12EF8"/>
    <w:rsid w:val="00D1440B"/>
    <w:rsid w:val="00D145E3"/>
    <w:rsid w:val="00D159E3"/>
    <w:rsid w:val="00D16AE2"/>
    <w:rsid w:val="00D16C14"/>
    <w:rsid w:val="00D16F49"/>
    <w:rsid w:val="00D177E3"/>
    <w:rsid w:val="00D17B7A"/>
    <w:rsid w:val="00D20C0B"/>
    <w:rsid w:val="00D20F69"/>
    <w:rsid w:val="00D215CA"/>
    <w:rsid w:val="00D24DC1"/>
    <w:rsid w:val="00D24F83"/>
    <w:rsid w:val="00D256E1"/>
    <w:rsid w:val="00D2578E"/>
    <w:rsid w:val="00D26180"/>
    <w:rsid w:val="00D265EC"/>
    <w:rsid w:val="00D2715F"/>
    <w:rsid w:val="00D30277"/>
    <w:rsid w:val="00D34007"/>
    <w:rsid w:val="00D3409F"/>
    <w:rsid w:val="00D348AF"/>
    <w:rsid w:val="00D348E5"/>
    <w:rsid w:val="00D350E9"/>
    <w:rsid w:val="00D356A9"/>
    <w:rsid w:val="00D35A27"/>
    <w:rsid w:val="00D364B4"/>
    <w:rsid w:val="00D366BC"/>
    <w:rsid w:val="00D3765B"/>
    <w:rsid w:val="00D37A6D"/>
    <w:rsid w:val="00D37F97"/>
    <w:rsid w:val="00D40137"/>
    <w:rsid w:val="00D403A7"/>
    <w:rsid w:val="00D41536"/>
    <w:rsid w:val="00D44A1F"/>
    <w:rsid w:val="00D44BDE"/>
    <w:rsid w:val="00D44F06"/>
    <w:rsid w:val="00D45BB4"/>
    <w:rsid w:val="00D46929"/>
    <w:rsid w:val="00D47C33"/>
    <w:rsid w:val="00D47D25"/>
    <w:rsid w:val="00D503F4"/>
    <w:rsid w:val="00D522F6"/>
    <w:rsid w:val="00D5352D"/>
    <w:rsid w:val="00D54880"/>
    <w:rsid w:val="00D55CD3"/>
    <w:rsid w:val="00D55F2F"/>
    <w:rsid w:val="00D56649"/>
    <w:rsid w:val="00D5690B"/>
    <w:rsid w:val="00D5742E"/>
    <w:rsid w:val="00D60127"/>
    <w:rsid w:val="00D606B1"/>
    <w:rsid w:val="00D61961"/>
    <w:rsid w:val="00D61C56"/>
    <w:rsid w:val="00D632F9"/>
    <w:rsid w:val="00D6399F"/>
    <w:rsid w:val="00D65831"/>
    <w:rsid w:val="00D663C9"/>
    <w:rsid w:val="00D66698"/>
    <w:rsid w:val="00D667F1"/>
    <w:rsid w:val="00D66D9A"/>
    <w:rsid w:val="00D678D3"/>
    <w:rsid w:val="00D67BD6"/>
    <w:rsid w:val="00D71CBD"/>
    <w:rsid w:val="00D739A3"/>
    <w:rsid w:val="00D739C2"/>
    <w:rsid w:val="00D73D18"/>
    <w:rsid w:val="00D743C2"/>
    <w:rsid w:val="00D744E2"/>
    <w:rsid w:val="00D74A4B"/>
    <w:rsid w:val="00D74AA8"/>
    <w:rsid w:val="00D75339"/>
    <w:rsid w:val="00D807DE"/>
    <w:rsid w:val="00D80F70"/>
    <w:rsid w:val="00D83211"/>
    <w:rsid w:val="00D85207"/>
    <w:rsid w:val="00D855E1"/>
    <w:rsid w:val="00D8716A"/>
    <w:rsid w:val="00D90168"/>
    <w:rsid w:val="00D908F2"/>
    <w:rsid w:val="00D90C04"/>
    <w:rsid w:val="00D90E89"/>
    <w:rsid w:val="00D9175C"/>
    <w:rsid w:val="00D920EE"/>
    <w:rsid w:val="00D920F5"/>
    <w:rsid w:val="00D92E97"/>
    <w:rsid w:val="00D93AE0"/>
    <w:rsid w:val="00D96E35"/>
    <w:rsid w:val="00D97819"/>
    <w:rsid w:val="00DA0512"/>
    <w:rsid w:val="00DA18F4"/>
    <w:rsid w:val="00DA360F"/>
    <w:rsid w:val="00DA3D72"/>
    <w:rsid w:val="00DA4248"/>
    <w:rsid w:val="00DA4A99"/>
    <w:rsid w:val="00DA56E7"/>
    <w:rsid w:val="00DA574B"/>
    <w:rsid w:val="00DA6E39"/>
    <w:rsid w:val="00DA7192"/>
    <w:rsid w:val="00DA7709"/>
    <w:rsid w:val="00DA7847"/>
    <w:rsid w:val="00DB0D48"/>
    <w:rsid w:val="00DB349B"/>
    <w:rsid w:val="00DB4662"/>
    <w:rsid w:val="00DB54A1"/>
    <w:rsid w:val="00DB54C5"/>
    <w:rsid w:val="00DB574B"/>
    <w:rsid w:val="00DB599C"/>
    <w:rsid w:val="00DB6660"/>
    <w:rsid w:val="00DB6B66"/>
    <w:rsid w:val="00DB7897"/>
    <w:rsid w:val="00DB7F76"/>
    <w:rsid w:val="00DC03DC"/>
    <w:rsid w:val="00DC34C4"/>
    <w:rsid w:val="00DC4DAE"/>
    <w:rsid w:val="00DC53F1"/>
    <w:rsid w:val="00DC5F5C"/>
    <w:rsid w:val="00DC613E"/>
    <w:rsid w:val="00DD0A09"/>
    <w:rsid w:val="00DD1414"/>
    <w:rsid w:val="00DD4719"/>
    <w:rsid w:val="00DD49D6"/>
    <w:rsid w:val="00DD4B4A"/>
    <w:rsid w:val="00DD582D"/>
    <w:rsid w:val="00DD69EE"/>
    <w:rsid w:val="00DD7563"/>
    <w:rsid w:val="00DE0F66"/>
    <w:rsid w:val="00DE7634"/>
    <w:rsid w:val="00DF10D3"/>
    <w:rsid w:val="00DF1966"/>
    <w:rsid w:val="00DF2949"/>
    <w:rsid w:val="00DF2B88"/>
    <w:rsid w:val="00DF3C06"/>
    <w:rsid w:val="00E00167"/>
    <w:rsid w:val="00E005F3"/>
    <w:rsid w:val="00E0302A"/>
    <w:rsid w:val="00E03CA2"/>
    <w:rsid w:val="00E0437C"/>
    <w:rsid w:val="00E04DE6"/>
    <w:rsid w:val="00E0679F"/>
    <w:rsid w:val="00E06B95"/>
    <w:rsid w:val="00E108BA"/>
    <w:rsid w:val="00E123CB"/>
    <w:rsid w:val="00E1283B"/>
    <w:rsid w:val="00E13745"/>
    <w:rsid w:val="00E14151"/>
    <w:rsid w:val="00E15A81"/>
    <w:rsid w:val="00E16B3E"/>
    <w:rsid w:val="00E16F8C"/>
    <w:rsid w:val="00E2047E"/>
    <w:rsid w:val="00E20ECE"/>
    <w:rsid w:val="00E22A62"/>
    <w:rsid w:val="00E2334E"/>
    <w:rsid w:val="00E26AE0"/>
    <w:rsid w:val="00E277C8"/>
    <w:rsid w:val="00E27ABC"/>
    <w:rsid w:val="00E27D9A"/>
    <w:rsid w:val="00E3038F"/>
    <w:rsid w:val="00E30EDF"/>
    <w:rsid w:val="00E3162F"/>
    <w:rsid w:val="00E31FED"/>
    <w:rsid w:val="00E333AC"/>
    <w:rsid w:val="00E35801"/>
    <w:rsid w:val="00E36563"/>
    <w:rsid w:val="00E365F8"/>
    <w:rsid w:val="00E36EE2"/>
    <w:rsid w:val="00E37274"/>
    <w:rsid w:val="00E374E8"/>
    <w:rsid w:val="00E37658"/>
    <w:rsid w:val="00E40501"/>
    <w:rsid w:val="00E40EFE"/>
    <w:rsid w:val="00E41DB5"/>
    <w:rsid w:val="00E41DF7"/>
    <w:rsid w:val="00E42018"/>
    <w:rsid w:val="00E44A23"/>
    <w:rsid w:val="00E450A9"/>
    <w:rsid w:val="00E45672"/>
    <w:rsid w:val="00E45880"/>
    <w:rsid w:val="00E45C7D"/>
    <w:rsid w:val="00E45DCE"/>
    <w:rsid w:val="00E4621D"/>
    <w:rsid w:val="00E47BE6"/>
    <w:rsid w:val="00E5118E"/>
    <w:rsid w:val="00E52313"/>
    <w:rsid w:val="00E52BC4"/>
    <w:rsid w:val="00E55393"/>
    <w:rsid w:val="00E55837"/>
    <w:rsid w:val="00E56BA8"/>
    <w:rsid w:val="00E56EC1"/>
    <w:rsid w:val="00E57675"/>
    <w:rsid w:val="00E612BF"/>
    <w:rsid w:val="00E62921"/>
    <w:rsid w:val="00E6294E"/>
    <w:rsid w:val="00E629BC"/>
    <w:rsid w:val="00E63541"/>
    <w:rsid w:val="00E649F2"/>
    <w:rsid w:val="00E65577"/>
    <w:rsid w:val="00E70019"/>
    <w:rsid w:val="00E7084D"/>
    <w:rsid w:val="00E715F0"/>
    <w:rsid w:val="00E73977"/>
    <w:rsid w:val="00E7412B"/>
    <w:rsid w:val="00E771ED"/>
    <w:rsid w:val="00E776D2"/>
    <w:rsid w:val="00E811C3"/>
    <w:rsid w:val="00E81A91"/>
    <w:rsid w:val="00E822C2"/>
    <w:rsid w:val="00E82583"/>
    <w:rsid w:val="00E82621"/>
    <w:rsid w:val="00E86563"/>
    <w:rsid w:val="00E870EC"/>
    <w:rsid w:val="00E906C7"/>
    <w:rsid w:val="00E91FF2"/>
    <w:rsid w:val="00E923F0"/>
    <w:rsid w:val="00E9290B"/>
    <w:rsid w:val="00E92B99"/>
    <w:rsid w:val="00E93C4E"/>
    <w:rsid w:val="00E94301"/>
    <w:rsid w:val="00E94BF7"/>
    <w:rsid w:val="00E95118"/>
    <w:rsid w:val="00E95948"/>
    <w:rsid w:val="00E96BE6"/>
    <w:rsid w:val="00EA1EB3"/>
    <w:rsid w:val="00EA2ED8"/>
    <w:rsid w:val="00EA3947"/>
    <w:rsid w:val="00EA3AAE"/>
    <w:rsid w:val="00EA5E4C"/>
    <w:rsid w:val="00EB07A2"/>
    <w:rsid w:val="00EB0AD7"/>
    <w:rsid w:val="00EB1D48"/>
    <w:rsid w:val="00EB26C1"/>
    <w:rsid w:val="00EB3023"/>
    <w:rsid w:val="00EB3190"/>
    <w:rsid w:val="00EB63EE"/>
    <w:rsid w:val="00EB7310"/>
    <w:rsid w:val="00EB7BD3"/>
    <w:rsid w:val="00EB7F78"/>
    <w:rsid w:val="00EC2ECF"/>
    <w:rsid w:val="00EC4FB3"/>
    <w:rsid w:val="00EC7B11"/>
    <w:rsid w:val="00ED01AC"/>
    <w:rsid w:val="00ED09C4"/>
    <w:rsid w:val="00ED0C08"/>
    <w:rsid w:val="00ED2E41"/>
    <w:rsid w:val="00ED4CD3"/>
    <w:rsid w:val="00ED5BC4"/>
    <w:rsid w:val="00ED6618"/>
    <w:rsid w:val="00ED79C5"/>
    <w:rsid w:val="00ED7B74"/>
    <w:rsid w:val="00EE03BF"/>
    <w:rsid w:val="00EE0A9F"/>
    <w:rsid w:val="00EE0D78"/>
    <w:rsid w:val="00EE1B68"/>
    <w:rsid w:val="00EE2103"/>
    <w:rsid w:val="00EE299C"/>
    <w:rsid w:val="00EE3248"/>
    <w:rsid w:val="00EE3B69"/>
    <w:rsid w:val="00EE42D9"/>
    <w:rsid w:val="00EE563F"/>
    <w:rsid w:val="00EE59CE"/>
    <w:rsid w:val="00EE6190"/>
    <w:rsid w:val="00EE621D"/>
    <w:rsid w:val="00EE6C69"/>
    <w:rsid w:val="00EE7096"/>
    <w:rsid w:val="00EE7303"/>
    <w:rsid w:val="00EF10F3"/>
    <w:rsid w:val="00EF2E7E"/>
    <w:rsid w:val="00EF303E"/>
    <w:rsid w:val="00EF348D"/>
    <w:rsid w:val="00EF37E3"/>
    <w:rsid w:val="00EF4931"/>
    <w:rsid w:val="00EF62EB"/>
    <w:rsid w:val="00EF7C7A"/>
    <w:rsid w:val="00F010FB"/>
    <w:rsid w:val="00F01194"/>
    <w:rsid w:val="00F012D7"/>
    <w:rsid w:val="00F013AC"/>
    <w:rsid w:val="00F03097"/>
    <w:rsid w:val="00F04234"/>
    <w:rsid w:val="00F04EBC"/>
    <w:rsid w:val="00F0565E"/>
    <w:rsid w:val="00F05F22"/>
    <w:rsid w:val="00F12DFE"/>
    <w:rsid w:val="00F1360A"/>
    <w:rsid w:val="00F168E3"/>
    <w:rsid w:val="00F22156"/>
    <w:rsid w:val="00F22B92"/>
    <w:rsid w:val="00F25299"/>
    <w:rsid w:val="00F263D9"/>
    <w:rsid w:val="00F30E73"/>
    <w:rsid w:val="00F31246"/>
    <w:rsid w:val="00F31883"/>
    <w:rsid w:val="00F3190D"/>
    <w:rsid w:val="00F31E05"/>
    <w:rsid w:val="00F3237D"/>
    <w:rsid w:val="00F328EA"/>
    <w:rsid w:val="00F33784"/>
    <w:rsid w:val="00F34510"/>
    <w:rsid w:val="00F34742"/>
    <w:rsid w:val="00F347A2"/>
    <w:rsid w:val="00F371EC"/>
    <w:rsid w:val="00F3775A"/>
    <w:rsid w:val="00F37A33"/>
    <w:rsid w:val="00F37D0D"/>
    <w:rsid w:val="00F40582"/>
    <w:rsid w:val="00F41C03"/>
    <w:rsid w:val="00F42B1C"/>
    <w:rsid w:val="00F42FC6"/>
    <w:rsid w:val="00F430AF"/>
    <w:rsid w:val="00F44A66"/>
    <w:rsid w:val="00F450DF"/>
    <w:rsid w:val="00F45351"/>
    <w:rsid w:val="00F47016"/>
    <w:rsid w:val="00F4745D"/>
    <w:rsid w:val="00F4757B"/>
    <w:rsid w:val="00F505D3"/>
    <w:rsid w:val="00F51945"/>
    <w:rsid w:val="00F52F74"/>
    <w:rsid w:val="00F53A4B"/>
    <w:rsid w:val="00F54EE0"/>
    <w:rsid w:val="00F55BA6"/>
    <w:rsid w:val="00F56FFC"/>
    <w:rsid w:val="00F573AC"/>
    <w:rsid w:val="00F611BD"/>
    <w:rsid w:val="00F62331"/>
    <w:rsid w:val="00F64574"/>
    <w:rsid w:val="00F64E13"/>
    <w:rsid w:val="00F6543B"/>
    <w:rsid w:val="00F667C3"/>
    <w:rsid w:val="00F6742E"/>
    <w:rsid w:val="00F67440"/>
    <w:rsid w:val="00F67CD8"/>
    <w:rsid w:val="00F714CB"/>
    <w:rsid w:val="00F72435"/>
    <w:rsid w:val="00F7424D"/>
    <w:rsid w:val="00F7441D"/>
    <w:rsid w:val="00F74A8E"/>
    <w:rsid w:val="00F75827"/>
    <w:rsid w:val="00F766D4"/>
    <w:rsid w:val="00F76D36"/>
    <w:rsid w:val="00F778E5"/>
    <w:rsid w:val="00F80325"/>
    <w:rsid w:val="00F8036B"/>
    <w:rsid w:val="00F8045A"/>
    <w:rsid w:val="00F80D2D"/>
    <w:rsid w:val="00F8102D"/>
    <w:rsid w:val="00F83094"/>
    <w:rsid w:val="00F862EA"/>
    <w:rsid w:val="00F86399"/>
    <w:rsid w:val="00F87ABF"/>
    <w:rsid w:val="00F87FDC"/>
    <w:rsid w:val="00F900B5"/>
    <w:rsid w:val="00F91675"/>
    <w:rsid w:val="00F93781"/>
    <w:rsid w:val="00F94A89"/>
    <w:rsid w:val="00F9579A"/>
    <w:rsid w:val="00F97E4E"/>
    <w:rsid w:val="00FA34C9"/>
    <w:rsid w:val="00FA37FC"/>
    <w:rsid w:val="00FA456D"/>
    <w:rsid w:val="00FA5766"/>
    <w:rsid w:val="00FA5A6C"/>
    <w:rsid w:val="00FA5B71"/>
    <w:rsid w:val="00FA5DAC"/>
    <w:rsid w:val="00FA79F7"/>
    <w:rsid w:val="00FB1AE4"/>
    <w:rsid w:val="00FB312B"/>
    <w:rsid w:val="00FB4B8E"/>
    <w:rsid w:val="00FB5304"/>
    <w:rsid w:val="00FB5BA4"/>
    <w:rsid w:val="00FB68B6"/>
    <w:rsid w:val="00FB746C"/>
    <w:rsid w:val="00FB751C"/>
    <w:rsid w:val="00FC17E4"/>
    <w:rsid w:val="00FC1865"/>
    <w:rsid w:val="00FC1C8A"/>
    <w:rsid w:val="00FC20E5"/>
    <w:rsid w:val="00FC3CAF"/>
    <w:rsid w:val="00FC3F67"/>
    <w:rsid w:val="00FC6AA4"/>
    <w:rsid w:val="00FC73FA"/>
    <w:rsid w:val="00FD0ABC"/>
    <w:rsid w:val="00FD105C"/>
    <w:rsid w:val="00FD1415"/>
    <w:rsid w:val="00FD19A3"/>
    <w:rsid w:val="00FD294F"/>
    <w:rsid w:val="00FD3331"/>
    <w:rsid w:val="00FD4F44"/>
    <w:rsid w:val="00FD542B"/>
    <w:rsid w:val="00FD5BB4"/>
    <w:rsid w:val="00FD745E"/>
    <w:rsid w:val="00FE0BEC"/>
    <w:rsid w:val="00FE3343"/>
    <w:rsid w:val="00FE3F74"/>
    <w:rsid w:val="00FE4A2D"/>
    <w:rsid w:val="00FE5E96"/>
    <w:rsid w:val="00FE75B8"/>
    <w:rsid w:val="00FE792E"/>
    <w:rsid w:val="00FF0A98"/>
    <w:rsid w:val="00FF0CFC"/>
    <w:rsid w:val="00FF1539"/>
    <w:rsid w:val="00FF1F3D"/>
    <w:rsid w:val="00FF36E1"/>
    <w:rsid w:val="00FF5931"/>
    <w:rsid w:val="00FF625E"/>
    <w:rsid w:val="00FF717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0833">
      <o:colormru v:ext="edit" colors="#ffc425,#bbb8a7"/>
      <o:colormenu v:ext="edit" fillcolor="none"/>
    </o:shapedefaults>
    <o:shapelayout v:ext="edit">
      <o:idmap v:ext="edit" data="1"/>
    </o:shapelayout>
  </w:shapeDefaults>
  <w:decimalSymbol w:val="."/>
  <w:listSeparator w:val=","/>
  <w14:docId w14:val="4E7C886C"/>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1" w:qFormat="1"/>
    <w:lsdException w:name="heading 1" w:uiPriority="0" w:qFormat="1"/>
    <w:lsdException w:name="heading 2" w:uiPriority="9"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qFormat="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3"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semiHidden/>
    <w:qFormat/>
    <w:rsid w:val="00063A52"/>
    <w:pPr>
      <w:spacing w:before="160" w:line="260" w:lineRule="exact"/>
    </w:pPr>
    <w:rPr>
      <w:rFonts w:ascii="Trebuchet MS" w:hAnsi="Trebuchet MS"/>
      <w:sz w:val="19"/>
      <w:lang w:val="en-AU"/>
    </w:rPr>
  </w:style>
  <w:style w:type="paragraph" w:styleId="Heading1">
    <w:name w:val="heading 1"/>
    <w:next w:val="Text"/>
    <w:qFormat/>
    <w:rsid w:val="00E612BF"/>
    <w:pPr>
      <w:keepNext/>
      <w:spacing w:after="360"/>
      <w:outlineLvl w:val="0"/>
    </w:pPr>
    <w:rPr>
      <w:rFonts w:ascii="Tahoma" w:hAnsi="Tahoma" w:cs="Tahoma"/>
      <w:color w:val="000000"/>
      <w:kern w:val="28"/>
      <w:sz w:val="48"/>
      <w:szCs w:val="56"/>
      <w:lang w:val="en-AU"/>
    </w:rPr>
  </w:style>
  <w:style w:type="paragraph" w:styleId="Heading2">
    <w:name w:val="heading 2"/>
    <w:next w:val="Text"/>
    <w:link w:val="Heading2Char"/>
    <w:uiPriority w:val="9"/>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uiPriority w:val="99"/>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uiPriority w:val="99"/>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qForma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qFormat/>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3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rsid w:val="00A83136"/>
    <w:pPr>
      <w:numPr>
        <w:numId w:val="11"/>
      </w:numPr>
      <w:contextualSpacing/>
    </w:pPr>
  </w:style>
  <w:style w:type="paragraph" w:styleId="ListBullet3">
    <w:name w:val="List Bullet 3"/>
    <w:basedOn w:val="Normal"/>
    <w:uiPriority w:val="99"/>
    <w:rsid w:val="00A83136"/>
    <w:pPr>
      <w:numPr>
        <w:numId w:val="12"/>
      </w:numPr>
      <w:contextualSpacing/>
    </w:pPr>
  </w:style>
  <w:style w:type="paragraph" w:styleId="ListBullet4">
    <w:name w:val="List Bullet 4"/>
    <w:basedOn w:val="Normal"/>
    <w:uiPriority w:val="99"/>
    <w:rsid w:val="00A83136"/>
    <w:pPr>
      <w:numPr>
        <w:numId w:val="13"/>
      </w:numPr>
      <w:contextualSpacing/>
    </w:pPr>
  </w:style>
  <w:style w:type="paragraph" w:styleId="ListBullet5">
    <w:name w:val="List Bullet 5"/>
    <w:basedOn w:val="Normal"/>
    <w:uiPriority w:val="99"/>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paragraph" w:styleId="ListParagraph">
    <w:name w:val="List Paragraph"/>
    <w:basedOn w:val="Normal"/>
    <w:uiPriority w:val="33"/>
    <w:unhideWhenUsed/>
    <w:qFormat/>
    <w:rsid w:val="00533F39"/>
    <w:pPr>
      <w:spacing w:line="324" w:lineRule="auto"/>
      <w:ind w:left="720"/>
      <w:contextualSpacing/>
    </w:pPr>
    <w:rPr>
      <w:rFonts w:asciiTheme="minorHAnsi" w:eastAsiaTheme="minorHAnsi" w:hAnsiTheme="minorHAnsi" w:cstheme="minorBidi"/>
      <w:szCs w:val="19"/>
      <w:lang w:val="en-US"/>
    </w:rPr>
  </w:style>
  <w:style w:type="paragraph" w:styleId="ListBullet">
    <w:name w:val="List Bullet"/>
    <w:basedOn w:val="Normal"/>
    <w:qFormat/>
    <w:rsid w:val="008A4E15"/>
    <w:pPr>
      <w:tabs>
        <w:tab w:val="num" w:pos="357"/>
      </w:tabs>
      <w:spacing w:before="120" w:line="324" w:lineRule="auto"/>
      <w:ind w:left="284" w:hanging="284"/>
    </w:pPr>
    <w:rPr>
      <w:rFonts w:asciiTheme="minorHAnsi" w:eastAsiaTheme="minorHAnsi" w:hAnsiTheme="minorHAnsi" w:cstheme="minorBidi"/>
      <w:szCs w:val="19"/>
      <w:lang w:val="en-US"/>
    </w:rPr>
  </w:style>
  <w:style w:type="paragraph" w:customStyle="1" w:styleId="ListBullet6">
    <w:name w:val="List Bullet 6"/>
    <w:basedOn w:val="Normal"/>
    <w:uiPriority w:val="99"/>
    <w:unhideWhenUsed/>
    <w:rsid w:val="008A4E15"/>
    <w:pPr>
      <w:tabs>
        <w:tab w:val="left" w:pos="1775"/>
      </w:tabs>
      <w:spacing w:before="120" w:line="324" w:lineRule="auto"/>
      <w:ind w:left="1702" w:hanging="284"/>
    </w:pPr>
    <w:rPr>
      <w:rFonts w:asciiTheme="minorHAnsi" w:eastAsiaTheme="minorHAnsi" w:hAnsiTheme="minorHAnsi" w:cstheme="minorBidi"/>
      <w:szCs w:val="19"/>
      <w:lang w:val="en-US"/>
    </w:rPr>
  </w:style>
  <w:style w:type="paragraph" w:customStyle="1" w:styleId="ListBullet7">
    <w:name w:val="List Bullet 7"/>
    <w:basedOn w:val="Normal"/>
    <w:uiPriority w:val="99"/>
    <w:unhideWhenUsed/>
    <w:rsid w:val="008A4E15"/>
    <w:pPr>
      <w:tabs>
        <w:tab w:val="left" w:pos="2058"/>
      </w:tabs>
      <w:spacing w:before="120" w:line="324" w:lineRule="auto"/>
      <w:ind w:left="2002" w:hanging="284"/>
    </w:pPr>
    <w:rPr>
      <w:rFonts w:asciiTheme="minorHAnsi" w:eastAsiaTheme="minorHAnsi" w:hAnsiTheme="minorHAnsi" w:cstheme="minorBidi"/>
      <w:szCs w:val="19"/>
      <w:lang w:val="en-US"/>
    </w:rPr>
  </w:style>
  <w:style w:type="paragraph" w:customStyle="1" w:styleId="ListBullet8">
    <w:name w:val="List Bullet 8"/>
    <w:basedOn w:val="Normal"/>
    <w:uiPriority w:val="99"/>
    <w:unhideWhenUsed/>
    <w:rsid w:val="008A4E15"/>
    <w:pPr>
      <w:tabs>
        <w:tab w:val="left" w:pos="2342"/>
      </w:tabs>
      <w:spacing w:before="120" w:line="324" w:lineRule="auto"/>
      <w:ind w:left="2269" w:hanging="284"/>
    </w:pPr>
    <w:rPr>
      <w:rFonts w:asciiTheme="minorHAnsi" w:eastAsiaTheme="minorHAnsi" w:hAnsiTheme="minorHAnsi" w:cstheme="minorBidi"/>
      <w:szCs w:val="19"/>
      <w:lang w:val="en-US"/>
    </w:rPr>
  </w:style>
  <w:style w:type="paragraph" w:customStyle="1" w:styleId="ListBullet9">
    <w:name w:val="List Bullet 9"/>
    <w:basedOn w:val="Normal"/>
    <w:uiPriority w:val="99"/>
    <w:unhideWhenUsed/>
    <w:rsid w:val="008A4E15"/>
    <w:pPr>
      <w:tabs>
        <w:tab w:val="left" w:pos="2625"/>
      </w:tabs>
      <w:spacing w:before="120" w:line="324" w:lineRule="auto"/>
      <w:ind w:left="2563" w:hanging="284"/>
    </w:pPr>
    <w:rPr>
      <w:rFonts w:asciiTheme="minorHAnsi" w:eastAsiaTheme="minorHAnsi" w:hAnsiTheme="minorHAnsi" w:cstheme="minorBidi"/>
      <w:szCs w:val="19"/>
      <w:lang w:val="en-US"/>
    </w:rPr>
  </w:style>
  <w:style w:type="table" w:customStyle="1" w:styleId="ListTable2-Accent61">
    <w:name w:val="List Table 2 - Accent 61"/>
    <w:basedOn w:val="TableNormal"/>
    <w:uiPriority w:val="47"/>
    <w:rsid w:val="005C670F"/>
    <w:rPr>
      <w:rFonts w:asciiTheme="minorHAnsi" w:eastAsiaTheme="minorHAnsi" w:hAnsiTheme="minorHAnsi" w:cstheme="minorBidi"/>
      <w:sz w:val="22"/>
      <w:szCs w:val="22"/>
      <w:lang w:val="en-AU"/>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FootnoteReference">
    <w:name w:val="footnote reference"/>
    <w:basedOn w:val="DefaultParagraphFont"/>
    <w:uiPriority w:val="99"/>
    <w:semiHidden/>
    <w:unhideWhenUsed/>
    <w:rsid w:val="000C7D27"/>
    <w:rPr>
      <w:rFonts w:asciiTheme="minorHAnsi" w:hAnsiTheme="minorHAnsi"/>
      <w:b w:val="0"/>
      <w:i w:val="0"/>
      <w:sz w:val="16"/>
      <w:vertAlign w:val="baseline"/>
    </w:rPr>
  </w:style>
  <w:style w:type="paragraph" w:styleId="Caption">
    <w:name w:val="caption"/>
    <w:basedOn w:val="Normal"/>
    <w:next w:val="Normal"/>
    <w:uiPriority w:val="35"/>
    <w:qFormat/>
    <w:rsid w:val="005A108E"/>
    <w:pPr>
      <w:spacing w:before="360" w:after="80" w:line="240" w:lineRule="auto"/>
      <w:ind w:left="851" w:hanging="851"/>
    </w:pPr>
    <w:rPr>
      <w:rFonts w:ascii="Tahoma" w:eastAsiaTheme="minorHAnsi" w:hAnsi="Tahoma" w:cstheme="minorBidi"/>
      <w:b/>
      <w:iCs/>
      <w:sz w:val="17"/>
      <w:szCs w:val="18"/>
      <w:lang w:val="en-US"/>
    </w:rPr>
  </w:style>
  <w:style w:type="table" w:customStyle="1" w:styleId="TableGrid1">
    <w:name w:val="Table Grid1"/>
    <w:basedOn w:val="TableNormal"/>
    <w:next w:val="TableGrid"/>
    <w:uiPriority w:val="39"/>
    <w:rsid w:val="006170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6170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itle0">
    <w:name w:val="tabletitle"/>
    <w:next w:val="Normal"/>
    <w:rsid w:val="00407F0A"/>
    <w:pPr>
      <w:spacing w:before="360" w:after="80"/>
      <w:ind w:left="851" w:hanging="851"/>
    </w:pPr>
    <w:rPr>
      <w:rFonts w:ascii="Arial" w:hAnsi="Arial"/>
      <w:b/>
      <w:sz w:val="17"/>
      <w:lang w:val="en-AU"/>
    </w:rPr>
  </w:style>
  <w:style w:type="paragraph" w:styleId="BodyText">
    <w:name w:val="Body Text"/>
    <w:basedOn w:val="Normal"/>
    <w:link w:val="BodyTextChar"/>
    <w:unhideWhenUsed/>
    <w:rsid w:val="00BB62E7"/>
    <w:pPr>
      <w:spacing w:after="120"/>
    </w:pPr>
  </w:style>
  <w:style w:type="character" w:customStyle="1" w:styleId="BodyTextChar">
    <w:name w:val="Body Text Char"/>
    <w:basedOn w:val="DefaultParagraphFont"/>
    <w:link w:val="BodyText"/>
    <w:rsid w:val="00BB62E7"/>
    <w:rPr>
      <w:rFonts w:ascii="Trebuchet MS" w:hAnsi="Trebuchet MS"/>
      <w:sz w:val="19"/>
      <w:lang w:val="en-AU"/>
    </w:rPr>
  </w:style>
  <w:style w:type="table" w:styleId="LightShading">
    <w:name w:val="Light Shading"/>
    <w:basedOn w:val="TableNormal"/>
    <w:uiPriority w:val="60"/>
    <w:rsid w:val="00BB62E7"/>
    <w:pPr>
      <w:jc w:val="both"/>
    </w:pPr>
    <w:rPr>
      <w:rFonts w:asciiTheme="minorHAnsi" w:eastAsiaTheme="minorHAnsi" w:hAnsiTheme="minorHAnsi" w:cstheme="minorBidi"/>
      <w:color w:val="000000" w:themeColor="text1" w:themeShade="BF"/>
      <w:sz w:val="22"/>
      <w:szCs w:val="22"/>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lainTable31">
    <w:name w:val="Plain Table 31"/>
    <w:basedOn w:val="TableNormal"/>
    <w:uiPriority w:val="43"/>
    <w:rsid w:val="000C6AB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E15A8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ndnoteReference">
    <w:name w:val="endnote reference"/>
    <w:basedOn w:val="DefaultParagraphFont"/>
    <w:uiPriority w:val="99"/>
    <w:semiHidden/>
    <w:unhideWhenUsed/>
    <w:rsid w:val="009748FA"/>
    <w:rPr>
      <w:vertAlign w:val="superscript"/>
    </w:rPr>
  </w:style>
  <w:style w:type="character" w:customStyle="1" w:styleId="Heading2Char">
    <w:name w:val="Heading 2 Char"/>
    <w:basedOn w:val="DefaultParagraphFont"/>
    <w:link w:val="Heading2"/>
    <w:uiPriority w:val="9"/>
    <w:rsid w:val="004A3F4D"/>
    <w:rPr>
      <w:rFonts w:ascii="Arial" w:hAnsi="Arial" w:cs="Tahoma"/>
      <w:sz w:val="28"/>
      <w:lang w:val="en-AU"/>
    </w:rPr>
  </w:style>
  <w:style w:type="table" w:customStyle="1" w:styleId="NCVERTable">
    <w:name w:val="NCVER Table"/>
    <w:basedOn w:val="TableNormal"/>
    <w:uiPriority w:val="99"/>
    <w:rsid w:val="003B6C52"/>
    <w:rPr>
      <w:rFonts w:ascii="Arial" w:eastAsiaTheme="minorHAnsi" w:hAnsi="Arial" w:cstheme="minorBidi"/>
      <w:sz w:val="17"/>
      <w:szCs w:val="19"/>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70680755">
      <w:bodyDiv w:val="1"/>
      <w:marLeft w:val="0"/>
      <w:marRight w:val="0"/>
      <w:marTop w:val="0"/>
      <w:marBottom w:val="0"/>
      <w:divBdr>
        <w:top w:val="none" w:sz="0" w:space="0" w:color="auto"/>
        <w:left w:val="none" w:sz="0" w:space="0" w:color="auto"/>
        <w:bottom w:val="none" w:sz="0" w:space="0" w:color="auto"/>
        <w:right w:val="none" w:sz="0" w:space="0" w:color="auto"/>
      </w:divBdr>
    </w:div>
    <w:div w:id="225382469">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82540104">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91334387">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08081213">
      <w:bodyDiv w:val="1"/>
      <w:marLeft w:val="0"/>
      <w:marRight w:val="0"/>
      <w:marTop w:val="0"/>
      <w:marBottom w:val="0"/>
      <w:divBdr>
        <w:top w:val="none" w:sz="0" w:space="0" w:color="auto"/>
        <w:left w:val="none" w:sz="0" w:space="0" w:color="auto"/>
        <w:bottom w:val="none" w:sz="0" w:space="0" w:color="auto"/>
        <w:right w:val="none" w:sz="0" w:space="0" w:color="auto"/>
      </w:divBdr>
    </w:div>
    <w:div w:id="957834478">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49055778">
      <w:bodyDiv w:val="1"/>
      <w:marLeft w:val="0"/>
      <w:marRight w:val="0"/>
      <w:marTop w:val="0"/>
      <w:marBottom w:val="0"/>
      <w:divBdr>
        <w:top w:val="none" w:sz="0" w:space="0" w:color="auto"/>
        <w:left w:val="none" w:sz="0" w:space="0" w:color="auto"/>
        <w:bottom w:val="none" w:sz="0" w:space="0" w:color="auto"/>
        <w:right w:val="none" w:sz="0" w:space="0" w:color="auto"/>
      </w:divBdr>
    </w:div>
    <w:div w:id="1252154077">
      <w:bodyDiv w:val="1"/>
      <w:marLeft w:val="0"/>
      <w:marRight w:val="0"/>
      <w:marTop w:val="0"/>
      <w:marBottom w:val="0"/>
      <w:divBdr>
        <w:top w:val="none" w:sz="0" w:space="0" w:color="auto"/>
        <w:left w:val="none" w:sz="0" w:space="0" w:color="auto"/>
        <w:bottom w:val="none" w:sz="0" w:space="0" w:color="auto"/>
        <w:right w:val="none" w:sz="0" w:space="0" w:color="auto"/>
      </w:divBdr>
    </w:div>
    <w:div w:id="1379889407">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80539323">
      <w:bodyDiv w:val="1"/>
      <w:marLeft w:val="0"/>
      <w:marRight w:val="0"/>
      <w:marTop w:val="0"/>
      <w:marBottom w:val="0"/>
      <w:divBdr>
        <w:top w:val="none" w:sz="0" w:space="0" w:color="auto"/>
        <w:left w:val="none" w:sz="0" w:space="0" w:color="auto"/>
        <w:bottom w:val="none" w:sz="0" w:space="0" w:color="auto"/>
        <w:right w:val="none" w:sz="0" w:space="0" w:color="auto"/>
      </w:divBdr>
    </w:div>
    <w:div w:id="1615870467">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wmf"/><Relationship Id="rId26" Type="http://schemas.openxmlformats.org/officeDocument/2006/relationships/footer" Target="footer2.xml"/><Relationship Id="rId39" Type="http://schemas.openxmlformats.org/officeDocument/2006/relationships/image" Target="media/image11.png"/><Relationship Id="rId21" Type="http://schemas.openxmlformats.org/officeDocument/2006/relationships/hyperlink" Target="mailto:ncver@ncver.edu.au" TargetMode="External"/><Relationship Id="rId34" Type="http://schemas.openxmlformats.org/officeDocument/2006/relationships/image" Target="media/image7.png"/><Relationship Id="rId42" Type="http://schemas.openxmlformats.org/officeDocument/2006/relationships/chart" Target="charts/chart5.xml"/><Relationship Id="rId47" Type="http://schemas.openxmlformats.org/officeDocument/2006/relationships/footer" Target="footer9.xml"/><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7.jpeg"/><Relationship Id="rId68" Type="http://schemas.openxmlformats.org/officeDocument/2006/relationships/image" Target="media/image32.jpeg"/><Relationship Id="rId76" Type="http://schemas.openxmlformats.org/officeDocument/2006/relationships/hyperlink" Target="https://www.lsay.edu.au" TargetMode="External"/><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footer" Target="footer4.xml"/><Relationship Id="rId11" Type="http://schemas.openxmlformats.org/officeDocument/2006/relationships/hyperlink" Target="https://melbourneinstitute.unimelb.edu.au/staff/research" TargetMode="External"/><Relationship Id="rId24" Type="http://schemas.openxmlformats.org/officeDocument/2006/relationships/header" Target="header1.xml"/><Relationship Id="rId32" Type="http://schemas.openxmlformats.org/officeDocument/2006/relationships/footer" Target="footer6.xml"/><Relationship Id="rId37" Type="http://schemas.openxmlformats.org/officeDocument/2006/relationships/image" Target="media/image10.png"/><Relationship Id="rId40" Type="http://schemas.openxmlformats.org/officeDocument/2006/relationships/chart" Target="charts/chart3.xml"/><Relationship Id="rId45" Type="http://schemas.openxmlformats.org/officeDocument/2006/relationships/footer" Target="footer7.xml"/><Relationship Id="rId53" Type="http://schemas.openxmlformats.org/officeDocument/2006/relationships/image" Target="media/image19.png"/><Relationship Id="rId58" Type="http://schemas.openxmlformats.org/officeDocument/2006/relationships/chart" Target="charts/chart6.xml"/><Relationship Id="rId66" Type="http://schemas.openxmlformats.org/officeDocument/2006/relationships/image" Target="media/image30.jpeg"/><Relationship Id="rId74" Type="http://schemas.openxmlformats.org/officeDocument/2006/relationships/hyperlink" Target="https://twitter.com/ncver" TargetMode="External"/><Relationship Id="rId79"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theme" Target="theme/theme1.xml"/><Relationship Id="rId10" Type="http://schemas.openxmlformats.org/officeDocument/2006/relationships/hyperlink" Target="https://research.unsw.edu.au/people/dr-jung-sook-lee" TargetMode="External"/><Relationship Id="rId19" Type="http://schemas.openxmlformats.org/officeDocument/2006/relationships/hyperlink" Target="mailto:ncver@ncver.edu.au" TargetMode="External"/><Relationship Id="rId31" Type="http://schemas.openxmlformats.org/officeDocument/2006/relationships/footer" Target="footer5.xml"/><Relationship Id="rId44" Type="http://schemas.openxmlformats.org/officeDocument/2006/relationships/image" Target="media/image13.png"/><Relationship Id="rId52" Type="http://schemas.openxmlformats.org/officeDocument/2006/relationships/image" Target="media/image18.pn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hyperlink" Target="https://www.lsay.edu.au" TargetMode="External"/><Relationship Id="rId78" Type="http://schemas.openxmlformats.org/officeDocument/2006/relationships/image" Target="media/image36.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linders.edu.au/people/david.curtis" TargetMode="External"/><Relationship Id="rId14" Type="http://schemas.openxmlformats.org/officeDocument/2006/relationships/image" Target="media/image3.jpeg"/><Relationship Id="rId22" Type="http://schemas.openxmlformats.org/officeDocument/2006/relationships/hyperlink" Target="https://www.lsay.edu.au" TargetMode="External"/><Relationship Id="rId27" Type="http://schemas.openxmlformats.org/officeDocument/2006/relationships/header" Target="header2.xml"/><Relationship Id="rId30" Type="http://schemas.openxmlformats.org/officeDocument/2006/relationships/chart" Target="charts/chart1.xml"/><Relationship Id="rId35" Type="http://schemas.openxmlformats.org/officeDocument/2006/relationships/image" Target="media/image8.png"/><Relationship Id="rId43" Type="http://schemas.openxmlformats.org/officeDocument/2006/relationships/image" Target="media/image12.png"/><Relationship Id="rId48" Type="http://schemas.openxmlformats.org/officeDocument/2006/relationships/image" Target="media/image14.emf"/><Relationship Id="rId56" Type="http://schemas.openxmlformats.org/officeDocument/2006/relationships/image" Target="media/image22.png"/><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hyperlink" Target="https://twitter.com/ncver" TargetMode="External"/><Relationship Id="rId8" Type="http://schemas.openxmlformats.org/officeDocument/2006/relationships/image" Target="media/image1.jpg"/><Relationship Id="rId51" Type="http://schemas.openxmlformats.org/officeDocument/2006/relationships/image" Target="media/image17.png"/><Relationship Id="rId72" Type="http://schemas.openxmlformats.org/officeDocument/2006/relationships/hyperlink" Target="mailto:ncver@ncver.edu.au" TargetMode="External"/><Relationship Id="rId80" Type="http://schemas.openxmlformats.org/officeDocument/2006/relationships/footer" Target="footer11.xml"/><Relationship Id="rId3" Type="http://schemas.openxmlformats.org/officeDocument/2006/relationships/styles" Target="styles.xml"/><Relationship Id="rId12" Type="http://schemas.openxmlformats.org/officeDocument/2006/relationships/hyperlink" Target="https://sites.google.com/site/domtabasso/" TargetMode="External"/><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hyperlink" Target="https://www.abs.gov.au/ausstats/abs@.nsf/Lookup/by%20Subject/2071.0~2016~Main%20Features~Socio-Economic%20Advantage%20and%20Disadvantage~123" TargetMode="External"/><Relationship Id="rId38" Type="http://schemas.openxmlformats.org/officeDocument/2006/relationships/chart" Target="charts/chart2.xml"/><Relationship Id="rId46" Type="http://schemas.openxmlformats.org/officeDocument/2006/relationships/footer" Target="footer8.xml"/><Relationship Id="rId59" Type="http://schemas.openxmlformats.org/officeDocument/2006/relationships/chart" Target="charts/chart7.xml"/><Relationship Id="rId67" Type="http://schemas.openxmlformats.org/officeDocument/2006/relationships/image" Target="media/image31.jpeg"/><Relationship Id="rId20" Type="http://schemas.openxmlformats.org/officeDocument/2006/relationships/hyperlink" Target="https://www.lsay.edu.au" TargetMode="External"/><Relationship Id="rId41" Type="http://schemas.openxmlformats.org/officeDocument/2006/relationships/chart" Target="charts/chart4.xml"/><Relationship Id="rId54" Type="http://schemas.openxmlformats.org/officeDocument/2006/relationships/image" Target="media/image20.emf"/><Relationship Id="rId62" Type="http://schemas.openxmlformats.org/officeDocument/2006/relationships/image" Target="media/image26.jpeg"/><Relationship Id="rId70" Type="http://schemas.openxmlformats.org/officeDocument/2006/relationships/image" Target="media/image34.png"/><Relationship Id="rId75" Type="http://schemas.openxmlformats.org/officeDocument/2006/relationships/hyperlink" Target="mailto:ncver@ncver.edu.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voced.edu.au/" TargetMode="External"/><Relationship Id="rId23" Type="http://schemas.openxmlformats.org/officeDocument/2006/relationships/hyperlink" Target="https://www.lsay.edu.au/publications/user-support-and-documentation" TargetMode="External"/><Relationship Id="rId28" Type="http://schemas.openxmlformats.org/officeDocument/2006/relationships/footer" Target="footer3.xml"/><Relationship Id="rId36" Type="http://schemas.openxmlformats.org/officeDocument/2006/relationships/image" Target="media/image9.png"/><Relationship Id="rId49" Type="http://schemas.openxmlformats.org/officeDocument/2006/relationships/image" Target="media/image15.png"/><Relationship Id="rId57"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unimelbcloud-my.sharepoint.com/personal/cainp_unimelb_edu_au/Documents/Documents/Working%20directory/Journal%20submissions/VET%20in%20schools/4-page%20summary/NCVER%20summary.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t>Percentage in full-time education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extract!$AS$17</c:f>
              <c:strCache>
                <c:ptCount val="1"/>
                <c:pt idx="0">
                  <c:v>Males 15-19</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extract!$AR$18:$AR$50</c:f>
              <c:numCache>
                <c:formatCode>General</c:formatCode>
                <c:ptCount val="33"/>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pt idx="32">
                  <c:v>2018</c:v>
                </c:pt>
              </c:numCache>
            </c:numRef>
          </c:xVal>
          <c:yVal>
            <c:numRef>
              <c:f>extract!$AS$18:$AS$50</c:f>
              <c:numCache>
                <c:formatCode>General</c:formatCode>
                <c:ptCount val="33"/>
                <c:pt idx="0">
                  <c:v>52.428683043421387</c:v>
                </c:pt>
                <c:pt idx="1">
                  <c:v>53.561953071059619</c:v>
                </c:pt>
                <c:pt idx="2">
                  <c:v>54.120529644446158</c:v>
                </c:pt>
                <c:pt idx="3">
                  <c:v>54.546913725350599</c:v>
                </c:pt>
                <c:pt idx="4">
                  <c:v>55.265915253057393</c:v>
                </c:pt>
                <c:pt idx="5">
                  <c:v>60.590053390099399</c:v>
                </c:pt>
                <c:pt idx="6">
                  <c:v>62.605689770860749</c:v>
                </c:pt>
                <c:pt idx="7">
                  <c:v>62.514809226405241</c:v>
                </c:pt>
                <c:pt idx="8">
                  <c:v>62.772834075229369</c:v>
                </c:pt>
                <c:pt idx="9">
                  <c:v>62.599112065490402</c:v>
                </c:pt>
                <c:pt idx="10">
                  <c:v>62.944947429851524</c:v>
                </c:pt>
                <c:pt idx="11">
                  <c:v>64.828333257923759</c:v>
                </c:pt>
                <c:pt idx="12">
                  <c:v>66.207691211669825</c:v>
                </c:pt>
                <c:pt idx="13">
                  <c:v>66.485479805559606</c:v>
                </c:pt>
                <c:pt idx="14">
                  <c:v>66.404683481663596</c:v>
                </c:pt>
                <c:pt idx="15">
                  <c:v>66.267943325188213</c:v>
                </c:pt>
                <c:pt idx="16">
                  <c:v>66.711130578613464</c:v>
                </c:pt>
                <c:pt idx="17">
                  <c:v>67.099112821866186</c:v>
                </c:pt>
                <c:pt idx="18">
                  <c:v>67.258058061308148</c:v>
                </c:pt>
                <c:pt idx="19">
                  <c:v>66.558038956909542</c:v>
                </c:pt>
                <c:pt idx="20">
                  <c:v>66.644746099258541</c:v>
                </c:pt>
                <c:pt idx="21">
                  <c:v>66.277304415429199</c:v>
                </c:pt>
                <c:pt idx="22">
                  <c:v>66.597424283227951</c:v>
                </c:pt>
                <c:pt idx="23">
                  <c:v>67.946582032157849</c:v>
                </c:pt>
                <c:pt idx="24">
                  <c:v>68.513496100414841</c:v>
                </c:pt>
                <c:pt idx="25">
                  <c:v>69.951210313468607</c:v>
                </c:pt>
                <c:pt idx="26">
                  <c:v>70.168840403209614</c:v>
                </c:pt>
                <c:pt idx="27">
                  <c:v>73.113246420176665</c:v>
                </c:pt>
                <c:pt idx="28">
                  <c:v>73.993664557909582</c:v>
                </c:pt>
                <c:pt idx="29">
                  <c:v>75.132238743731975</c:v>
                </c:pt>
                <c:pt idx="30">
                  <c:v>76.255404859661041</c:v>
                </c:pt>
                <c:pt idx="31">
                  <c:v>76.680766199796665</c:v>
                </c:pt>
                <c:pt idx="32">
                  <c:v>73.901820414970274</c:v>
                </c:pt>
              </c:numCache>
            </c:numRef>
          </c:yVal>
          <c:smooth val="0"/>
          <c:extLst>
            <c:ext xmlns:c16="http://schemas.microsoft.com/office/drawing/2014/chart" uri="{C3380CC4-5D6E-409C-BE32-E72D297353CC}">
              <c16:uniqueId val="{00000000-A214-4042-9CDA-37541445BB29}"/>
            </c:ext>
          </c:extLst>
        </c:ser>
        <c:ser>
          <c:idx val="1"/>
          <c:order val="1"/>
          <c:tx>
            <c:strRef>
              <c:f>extract!$AT$17</c:f>
              <c:strCache>
                <c:ptCount val="1"/>
                <c:pt idx="0">
                  <c:v>Females 15-19</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extract!$AR$18:$AR$50</c:f>
              <c:numCache>
                <c:formatCode>General</c:formatCode>
                <c:ptCount val="33"/>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pt idx="32">
                  <c:v>2018</c:v>
                </c:pt>
              </c:numCache>
            </c:numRef>
          </c:xVal>
          <c:yVal>
            <c:numRef>
              <c:f>extract!$AT$18:$AT$50</c:f>
              <c:numCache>
                <c:formatCode>General</c:formatCode>
                <c:ptCount val="33"/>
                <c:pt idx="0">
                  <c:v>54.733940901811366</c:v>
                </c:pt>
                <c:pt idx="1">
                  <c:v>56.42077171124641</c:v>
                </c:pt>
                <c:pt idx="2">
                  <c:v>57.468531982378245</c:v>
                </c:pt>
                <c:pt idx="3">
                  <c:v>59.173403728658812</c:v>
                </c:pt>
                <c:pt idx="4">
                  <c:v>60.513415199044864</c:v>
                </c:pt>
                <c:pt idx="5">
                  <c:v>65.011511781317736</c:v>
                </c:pt>
                <c:pt idx="6">
                  <c:v>67.546987612246809</c:v>
                </c:pt>
                <c:pt idx="7">
                  <c:v>69.296925265580413</c:v>
                </c:pt>
                <c:pt idx="8">
                  <c:v>68.764425458226356</c:v>
                </c:pt>
                <c:pt idx="9">
                  <c:v>69.035808350941281</c:v>
                </c:pt>
                <c:pt idx="10">
                  <c:v>70.67206655314736</c:v>
                </c:pt>
                <c:pt idx="11">
                  <c:v>72.546479107341156</c:v>
                </c:pt>
                <c:pt idx="12">
                  <c:v>72.84486309694384</c:v>
                </c:pt>
                <c:pt idx="13">
                  <c:v>73.391052932237983</c:v>
                </c:pt>
                <c:pt idx="14">
                  <c:v>73.166065549373684</c:v>
                </c:pt>
                <c:pt idx="15">
                  <c:v>72.366925173817506</c:v>
                </c:pt>
                <c:pt idx="16">
                  <c:v>72.778443652154451</c:v>
                </c:pt>
                <c:pt idx="17">
                  <c:v>72.7523498353452</c:v>
                </c:pt>
                <c:pt idx="18">
                  <c:v>72.155858247107133</c:v>
                </c:pt>
                <c:pt idx="19">
                  <c:v>72.723525155206161</c:v>
                </c:pt>
                <c:pt idx="20">
                  <c:v>73.686628601132085</c:v>
                </c:pt>
                <c:pt idx="21">
                  <c:v>74.438401567932914</c:v>
                </c:pt>
                <c:pt idx="22">
                  <c:v>73.370654653166383</c:v>
                </c:pt>
                <c:pt idx="23">
                  <c:v>72.393857578070865</c:v>
                </c:pt>
                <c:pt idx="24">
                  <c:v>74.805654555522281</c:v>
                </c:pt>
                <c:pt idx="25">
                  <c:v>75.618787290191463</c:v>
                </c:pt>
                <c:pt idx="26">
                  <c:v>76.551313539522738</c:v>
                </c:pt>
                <c:pt idx="27">
                  <c:v>78.592287037534589</c:v>
                </c:pt>
                <c:pt idx="28">
                  <c:v>79.961319509129396</c:v>
                </c:pt>
                <c:pt idx="29">
                  <c:v>79.970292162649685</c:v>
                </c:pt>
                <c:pt idx="30">
                  <c:v>81.428827915315054</c:v>
                </c:pt>
                <c:pt idx="31">
                  <c:v>81.394193580055969</c:v>
                </c:pt>
                <c:pt idx="32">
                  <c:v>80.514793915506246</c:v>
                </c:pt>
              </c:numCache>
            </c:numRef>
          </c:yVal>
          <c:smooth val="0"/>
          <c:extLst>
            <c:ext xmlns:c16="http://schemas.microsoft.com/office/drawing/2014/chart" uri="{C3380CC4-5D6E-409C-BE32-E72D297353CC}">
              <c16:uniqueId val="{00000001-A214-4042-9CDA-37541445BB29}"/>
            </c:ext>
          </c:extLst>
        </c:ser>
        <c:ser>
          <c:idx val="2"/>
          <c:order val="2"/>
          <c:tx>
            <c:strRef>
              <c:f>extract!$AU$17</c:f>
              <c:strCache>
                <c:ptCount val="1"/>
                <c:pt idx="0">
                  <c:v>Males 20-24</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extract!$AR$18:$AR$50</c:f>
              <c:numCache>
                <c:formatCode>General</c:formatCode>
                <c:ptCount val="33"/>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pt idx="32">
                  <c:v>2018</c:v>
                </c:pt>
              </c:numCache>
            </c:numRef>
          </c:xVal>
          <c:yVal>
            <c:numRef>
              <c:f>extract!$AU$18:$AU$50</c:f>
              <c:numCache>
                <c:formatCode>General</c:formatCode>
                <c:ptCount val="33"/>
                <c:pt idx="0">
                  <c:v>8.8624333876599124</c:v>
                </c:pt>
                <c:pt idx="1">
                  <c:v>9.6862993158810387</c:v>
                </c:pt>
                <c:pt idx="2">
                  <c:v>10.348689538061656</c:v>
                </c:pt>
                <c:pt idx="3">
                  <c:v>11.477517211277942</c:v>
                </c:pt>
                <c:pt idx="4">
                  <c:v>12.336599128325453</c:v>
                </c:pt>
                <c:pt idx="5">
                  <c:v>14.300302116539148</c:v>
                </c:pt>
                <c:pt idx="6">
                  <c:v>15.438262937812475</c:v>
                </c:pt>
                <c:pt idx="7">
                  <c:v>15.106782795628002</c:v>
                </c:pt>
                <c:pt idx="8">
                  <c:v>15.03990941355057</c:v>
                </c:pt>
                <c:pt idx="9">
                  <c:v>15.613906106331815</c:v>
                </c:pt>
                <c:pt idx="10">
                  <c:v>16.192019611712954</c:v>
                </c:pt>
                <c:pt idx="11">
                  <c:v>17.351068031357521</c:v>
                </c:pt>
                <c:pt idx="12">
                  <c:v>17.568204754170686</c:v>
                </c:pt>
                <c:pt idx="13">
                  <c:v>18.630594936679369</c:v>
                </c:pt>
                <c:pt idx="14">
                  <c:v>19.302578042329905</c:v>
                </c:pt>
                <c:pt idx="15">
                  <c:v>20.781458556017263</c:v>
                </c:pt>
                <c:pt idx="16">
                  <c:v>22.178866279228391</c:v>
                </c:pt>
                <c:pt idx="17">
                  <c:v>22.78344941241054</c:v>
                </c:pt>
                <c:pt idx="18">
                  <c:v>22.672831230692683</c:v>
                </c:pt>
                <c:pt idx="19">
                  <c:v>23.581806771292012</c:v>
                </c:pt>
                <c:pt idx="20">
                  <c:v>23.644793096803159</c:v>
                </c:pt>
                <c:pt idx="21">
                  <c:v>25.631898117910261</c:v>
                </c:pt>
                <c:pt idx="22">
                  <c:v>26.316736749226639</c:v>
                </c:pt>
                <c:pt idx="23">
                  <c:v>25.982228219345604</c:v>
                </c:pt>
                <c:pt idx="24">
                  <c:v>27.613544675793499</c:v>
                </c:pt>
                <c:pt idx="25">
                  <c:v>27.086432374216624</c:v>
                </c:pt>
                <c:pt idx="26">
                  <c:v>27.90167013266683</c:v>
                </c:pt>
                <c:pt idx="27">
                  <c:v>27.492040913099348</c:v>
                </c:pt>
                <c:pt idx="28">
                  <c:v>27.953510322686025</c:v>
                </c:pt>
                <c:pt idx="29">
                  <c:v>28.227182319058876</c:v>
                </c:pt>
                <c:pt idx="30">
                  <c:v>29.58408847466713</c:v>
                </c:pt>
                <c:pt idx="31">
                  <c:v>30.303189770518891</c:v>
                </c:pt>
                <c:pt idx="32">
                  <c:v>30.595367344336616</c:v>
                </c:pt>
              </c:numCache>
            </c:numRef>
          </c:yVal>
          <c:smooth val="0"/>
          <c:extLst>
            <c:ext xmlns:c16="http://schemas.microsoft.com/office/drawing/2014/chart" uri="{C3380CC4-5D6E-409C-BE32-E72D297353CC}">
              <c16:uniqueId val="{00000002-A214-4042-9CDA-37541445BB29}"/>
            </c:ext>
          </c:extLst>
        </c:ser>
        <c:ser>
          <c:idx val="3"/>
          <c:order val="3"/>
          <c:tx>
            <c:strRef>
              <c:f>extract!$AV$17</c:f>
              <c:strCache>
                <c:ptCount val="1"/>
                <c:pt idx="0">
                  <c:v>Females 20-24</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extract!$AR$18:$AR$50</c:f>
              <c:numCache>
                <c:formatCode>General</c:formatCode>
                <c:ptCount val="33"/>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pt idx="32">
                  <c:v>2018</c:v>
                </c:pt>
              </c:numCache>
            </c:numRef>
          </c:xVal>
          <c:yVal>
            <c:numRef>
              <c:f>extract!$AV$18:$AV$50</c:f>
              <c:numCache>
                <c:formatCode>General</c:formatCode>
                <c:ptCount val="33"/>
                <c:pt idx="0">
                  <c:v>7.5388695903399157</c:v>
                </c:pt>
                <c:pt idx="1">
                  <c:v>8.5876798493900459</c:v>
                </c:pt>
                <c:pt idx="2">
                  <c:v>9.4878708804707355</c:v>
                </c:pt>
                <c:pt idx="3">
                  <c:v>11.063432936090013</c:v>
                </c:pt>
                <c:pt idx="4">
                  <c:v>12.756789875718964</c:v>
                </c:pt>
                <c:pt idx="5">
                  <c:v>14.650445334062958</c:v>
                </c:pt>
                <c:pt idx="6">
                  <c:v>15.678947727892535</c:v>
                </c:pt>
                <c:pt idx="7">
                  <c:v>16.072805469749561</c:v>
                </c:pt>
                <c:pt idx="8">
                  <c:v>16.064381336234991</c:v>
                </c:pt>
                <c:pt idx="9">
                  <c:v>16.502471826490986</c:v>
                </c:pt>
                <c:pt idx="10">
                  <c:v>17.480533615758343</c:v>
                </c:pt>
                <c:pt idx="11">
                  <c:v>19.134065510132618</c:v>
                </c:pt>
                <c:pt idx="12">
                  <c:v>20.581405993724971</c:v>
                </c:pt>
                <c:pt idx="13">
                  <c:v>20.959029054150697</c:v>
                </c:pt>
                <c:pt idx="14">
                  <c:v>22.211924652062507</c:v>
                </c:pt>
                <c:pt idx="15">
                  <c:v>22.417122078236034</c:v>
                </c:pt>
                <c:pt idx="16">
                  <c:v>25.190081136181764</c:v>
                </c:pt>
                <c:pt idx="17">
                  <c:v>26.333849195566376</c:v>
                </c:pt>
                <c:pt idx="18">
                  <c:v>27.284088519636086</c:v>
                </c:pt>
                <c:pt idx="19">
                  <c:v>29.151152943329318</c:v>
                </c:pt>
                <c:pt idx="20">
                  <c:v>27.328469017479524</c:v>
                </c:pt>
                <c:pt idx="21">
                  <c:v>28.315132399226783</c:v>
                </c:pt>
                <c:pt idx="22">
                  <c:v>28.095558635781607</c:v>
                </c:pt>
                <c:pt idx="23">
                  <c:v>31.259217102009906</c:v>
                </c:pt>
                <c:pt idx="24">
                  <c:v>31.823436834215833</c:v>
                </c:pt>
                <c:pt idx="25">
                  <c:v>31.47818712069224</c:v>
                </c:pt>
                <c:pt idx="26">
                  <c:v>32.511243012725785</c:v>
                </c:pt>
                <c:pt idx="27">
                  <c:v>32.592965417714332</c:v>
                </c:pt>
                <c:pt idx="28">
                  <c:v>33.017862127080797</c:v>
                </c:pt>
                <c:pt idx="29">
                  <c:v>33.483558083549354</c:v>
                </c:pt>
                <c:pt idx="30">
                  <c:v>34.481428275129737</c:v>
                </c:pt>
                <c:pt idx="31">
                  <c:v>33.641250280627162</c:v>
                </c:pt>
                <c:pt idx="32">
                  <c:v>34.690545157634624</c:v>
                </c:pt>
              </c:numCache>
            </c:numRef>
          </c:yVal>
          <c:smooth val="0"/>
          <c:extLst>
            <c:ext xmlns:c16="http://schemas.microsoft.com/office/drawing/2014/chart" uri="{C3380CC4-5D6E-409C-BE32-E72D297353CC}">
              <c16:uniqueId val="{00000003-A214-4042-9CDA-37541445BB29}"/>
            </c:ext>
          </c:extLst>
        </c:ser>
        <c:dLbls>
          <c:showLegendKey val="0"/>
          <c:showVal val="0"/>
          <c:showCatName val="0"/>
          <c:showSerName val="0"/>
          <c:showPercent val="0"/>
          <c:showBubbleSize val="0"/>
        </c:dLbls>
        <c:axId val="559606432"/>
        <c:axId val="559604792"/>
      </c:scatterChart>
      <c:valAx>
        <c:axId val="559606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604792"/>
        <c:crosses val="autoZero"/>
        <c:crossBetween val="midCat"/>
      </c:valAx>
      <c:valAx>
        <c:axId val="559604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606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'graphs (2)'!$W$100</c:f>
              <c:strCache>
                <c:ptCount val="1"/>
                <c:pt idx="0">
                  <c:v>Degree &amp; high OP</c:v>
                </c:pt>
              </c:strCache>
            </c:strRef>
          </c:tx>
          <c:cat>
            <c:numRef>
              <c:f>'graphs (2)'!$X$99:$AE$99</c:f>
              <c:numCache>
                <c:formatCode>0</c:formatCode>
                <c:ptCount val="8"/>
                <c:pt idx="0">
                  <c:v>1999</c:v>
                </c:pt>
                <c:pt idx="1">
                  <c:v>2000</c:v>
                </c:pt>
                <c:pt idx="2">
                  <c:v>2001</c:v>
                </c:pt>
                <c:pt idx="3">
                  <c:v>2002</c:v>
                </c:pt>
                <c:pt idx="4">
                  <c:v>2003</c:v>
                </c:pt>
                <c:pt idx="5">
                  <c:v>2004</c:v>
                </c:pt>
                <c:pt idx="6">
                  <c:v>2005</c:v>
                </c:pt>
                <c:pt idx="7">
                  <c:v>2006</c:v>
                </c:pt>
              </c:numCache>
            </c:numRef>
          </c:cat>
          <c:val>
            <c:numRef>
              <c:f>'graphs (2)'!$X$100:$AE$100</c:f>
              <c:numCache>
                <c:formatCode>0.00</c:formatCode>
                <c:ptCount val="8"/>
                <c:pt idx="0">
                  <c:v>2.3315006134194968E-5</c:v>
                </c:pt>
                <c:pt idx="1">
                  <c:v>4.9476585000021386E-4</c:v>
                </c:pt>
                <c:pt idx="2">
                  <c:v>6.3546087966355044E-3</c:v>
                </c:pt>
                <c:pt idx="3">
                  <c:v>4.7870707718208019E-2</c:v>
                </c:pt>
                <c:pt idx="4">
                  <c:v>0.19389112101736014</c:v>
                </c:pt>
                <c:pt idx="5">
                  <c:v>0.41183734663767996</c:v>
                </c:pt>
                <c:pt idx="6">
                  <c:v>0.55365361542584368</c:v>
                </c:pt>
                <c:pt idx="7">
                  <c:v>0.57212709266682349</c:v>
                </c:pt>
              </c:numCache>
            </c:numRef>
          </c:val>
          <c:smooth val="0"/>
          <c:extLst>
            <c:ext xmlns:c16="http://schemas.microsoft.com/office/drawing/2014/chart" uri="{C3380CC4-5D6E-409C-BE32-E72D297353CC}">
              <c16:uniqueId val="{00000000-08C9-4558-9C9A-DD075385CCFA}"/>
            </c:ext>
          </c:extLst>
        </c:ser>
        <c:ser>
          <c:idx val="1"/>
          <c:order val="1"/>
          <c:tx>
            <c:strRef>
              <c:f>'graphs (2)'!$W$101</c:f>
              <c:strCache>
                <c:ptCount val="1"/>
                <c:pt idx="0">
                  <c:v>Degree &amp; med OP</c:v>
                </c:pt>
              </c:strCache>
            </c:strRef>
          </c:tx>
          <c:cat>
            <c:numRef>
              <c:f>'graphs (2)'!$X$99:$AE$99</c:f>
              <c:numCache>
                <c:formatCode>0</c:formatCode>
                <c:ptCount val="8"/>
                <c:pt idx="0">
                  <c:v>1999</c:v>
                </c:pt>
                <c:pt idx="1">
                  <c:v>2000</c:v>
                </c:pt>
                <c:pt idx="2">
                  <c:v>2001</c:v>
                </c:pt>
                <c:pt idx="3">
                  <c:v>2002</c:v>
                </c:pt>
                <c:pt idx="4">
                  <c:v>2003</c:v>
                </c:pt>
                <c:pt idx="5">
                  <c:v>2004</c:v>
                </c:pt>
                <c:pt idx="6">
                  <c:v>2005</c:v>
                </c:pt>
                <c:pt idx="7">
                  <c:v>2006</c:v>
                </c:pt>
              </c:numCache>
            </c:numRef>
          </c:cat>
          <c:val>
            <c:numRef>
              <c:f>'graphs (2)'!$X$101:$AE$101</c:f>
              <c:numCache>
                <c:formatCode>0.00</c:formatCode>
                <c:ptCount val="8"/>
                <c:pt idx="0">
                  <c:v>1.8438998041874258E-5</c:v>
                </c:pt>
                <c:pt idx="1">
                  <c:v>3.9133106373283614E-4</c:v>
                </c:pt>
                <c:pt idx="2">
                  <c:v>5.0322944922749756E-3</c:v>
                </c:pt>
                <c:pt idx="3">
                  <c:v>3.8241898246896729E-2</c:v>
                </c:pt>
                <c:pt idx="4">
                  <c:v>0.15982157567048463</c:v>
                </c:pt>
                <c:pt idx="5">
                  <c:v>0.35640332170295019</c:v>
                </c:pt>
                <c:pt idx="6">
                  <c:v>0.49520258765878222</c:v>
                </c:pt>
                <c:pt idx="7">
                  <c:v>0.51397155231945357</c:v>
                </c:pt>
              </c:numCache>
            </c:numRef>
          </c:val>
          <c:smooth val="0"/>
          <c:extLst>
            <c:ext xmlns:c16="http://schemas.microsoft.com/office/drawing/2014/chart" uri="{C3380CC4-5D6E-409C-BE32-E72D297353CC}">
              <c16:uniqueId val="{00000001-08C9-4558-9C9A-DD075385CCFA}"/>
            </c:ext>
          </c:extLst>
        </c:ser>
        <c:ser>
          <c:idx val="2"/>
          <c:order val="2"/>
          <c:tx>
            <c:strRef>
              <c:f>'graphs (2)'!$W$102</c:f>
              <c:strCache>
                <c:ptCount val="1"/>
                <c:pt idx="0">
                  <c:v>Degree &amp; low OP</c:v>
                </c:pt>
              </c:strCache>
            </c:strRef>
          </c:tx>
          <c:cat>
            <c:numRef>
              <c:f>'graphs (2)'!$X$99:$AE$99</c:f>
              <c:numCache>
                <c:formatCode>0</c:formatCode>
                <c:ptCount val="8"/>
                <c:pt idx="0">
                  <c:v>1999</c:v>
                </c:pt>
                <c:pt idx="1">
                  <c:v>2000</c:v>
                </c:pt>
                <c:pt idx="2">
                  <c:v>2001</c:v>
                </c:pt>
                <c:pt idx="3">
                  <c:v>2002</c:v>
                </c:pt>
                <c:pt idx="4">
                  <c:v>2003</c:v>
                </c:pt>
                <c:pt idx="5">
                  <c:v>2004</c:v>
                </c:pt>
                <c:pt idx="6">
                  <c:v>2005</c:v>
                </c:pt>
                <c:pt idx="7">
                  <c:v>2006</c:v>
                </c:pt>
              </c:numCache>
            </c:numRef>
          </c:cat>
          <c:val>
            <c:numRef>
              <c:f>'graphs (2)'!$X$102:$AE$102</c:f>
              <c:numCache>
                <c:formatCode>0.00</c:formatCode>
                <c:ptCount val="8"/>
                <c:pt idx="0">
                  <c:v>1.4582724109628436E-5</c:v>
                </c:pt>
                <c:pt idx="1">
                  <c:v>3.0951345650549755E-4</c:v>
                </c:pt>
                <c:pt idx="2">
                  <c:v>3.984033946602108E-3</c:v>
                </c:pt>
                <c:pt idx="3">
                  <c:v>3.0487830374321307E-2</c:v>
                </c:pt>
                <c:pt idx="4">
                  <c:v>0.13076741747474344</c:v>
                </c:pt>
                <c:pt idx="5">
                  <c:v>0.30456703180318284</c:v>
                </c:pt>
                <c:pt idx="6">
                  <c:v>0.43688240216073454</c:v>
                </c:pt>
                <c:pt idx="7">
                  <c:v>0.45543521761328504</c:v>
                </c:pt>
              </c:numCache>
            </c:numRef>
          </c:val>
          <c:smooth val="0"/>
          <c:extLst>
            <c:ext xmlns:c16="http://schemas.microsoft.com/office/drawing/2014/chart" uri="{C3380CC4-5D6E-409C-BE32-E72D297353CC}">
              <c16:uniqueId val="{00000002-08C9-4558-9C9A-DD075385CCFA}"/>
            </c:ext>
          </c:extLst>
        </c:ser>
        <c:ser>
          <c:idx val="3"/>
          <c:order val="3"/>
          <c:tx>
            <c:strRef>
              <c:f>'graphs (2)'!$W$103</c:f>
              <c:strCache>
                <c:ptCount val="1"/>
                <c:pt idx="0">
                  <c:v>No degree &amp; high OP</c:v>
                </c:pt>
              </c:strCache>
            </c:strRef>
          </c:tx>
          <c:cat>
            <c:numRef>
              <c:f>'graphs (2)'!$X$99:$AE$99</c:f>
              <c:numCache>
                <c:formatCode>0</c:formatCode>
                <c:ptCount val="8"/>
                <c:pt idx="0">
                  <c:v>1999</c:v>
                </c:pt>
                <c:pt idx="1">
                  <c:v>2000</c:v>
                </c:pt>
                <c:pt idx="2">
                  <c:v>2001</c:v>
                </c:pt>
                <c:pt idx="3">
                  <c:v>2002</c:v>
                </c:pt>
                <c:pt idx="4">
                  <c:v>2003</c:v>
                </c:pt>
                <c:pt idx="5">
                  <c:v>2004</c:v>
                </c:pt>
                <c:pt idx="6">
                  <c:v>2005</c:v>
                </c:pt>
                <c:pt idx="7">
                  <c:v>2006</c:v>
                </c:pt>
              </c:numCache>
            </c:numRef>
          </c:cat>
          <c:val>
            <c:numRef>
              <c:f>'graphs (2)'!$X$103:$AE$103</c:f>
              <c:numCache>
                <c:formatCode>0.00</c:formatCode>
                <c:ptCount val="8"/>
                <c:pt idx="0">
                  <c:v>1.0973832056395383E-5</c:v>
                </c:pt>
                <c:pt idx="1">
                  <c:v>2.3293292779356196E-4</c:v>
                </c:pt>
                <c:pt idx="2">
                  <c:v>3.0010243883468709E-3</c:v>
                </c:pt>
                <c:pt idx="3">
                  <c:v>2.3117125640839949E-2</c:v>
                </c:pt>
                <c:pt idx="4">
                  <c:v>0.10169623028895552</c:v>
                </c:pt>
                <c:pt idx="5">
                  <c:v>0.24787628590048952</c:v>
                </c:pt>
                <c:pt idx="6">
                  <c:v>0.36861756730330097</c:v>
                </c:pt>
                <c:pt idx="7">
                  <c:v>0.38625990956684081</c:v>
                </c:pt>
              </c:numCache>
            </c:numRef>
          </c:val>
          <c:smooth val="0"/>
          <c:extLst>
            <c:ext xmlns:c16="http://schemas.microsoft.com/office/drawing/2014/chart" uri="{C3380CC4-5D6E-409C-BE32-E72D297353CC}">
              <c16:uniqueId val="{00000003-08C9-4558-9C9A-DD075385CCFA}"/>
            </c:ext>
          </c:extLst>
        </c:ser>
        <c:ser>
          <c:idx val="4"/>
          <c:order val="4"/>
          <c:tx>
            <c:strRef>
              <c:f>'graphs (2)'!$W$104</c:f>
              <c:strCache>
                <c:ptCount val="1"/>
                <c:pt idx="0">
                  <c:v>No degree &amp; med OP</c:v>
                </c:pt>
              </c:strCache>
            </c:strRef>
          </c:tx>
          <c:cat>
            <c:numRef>
              <c:f>'graphs (2)'!$X$99:$AE$99</c:f>
              <c:numCache>
                <c:formatCode>0</c:formatCode>
                <c:ptCount val="8"/>
                <c:pt idx="0">
                  <c:v>1999</c:v>
                </c:pt>
                <c:pt idx="1">
                  <c:v>2000</c:v>
                </c:pt>
                <c:pt idx="2">
                  <c:v>2001</c:v>
                </c:pt>
                <c:pt idx="3">
                  <c:v>2002</c:v>
                </c:pt>
                <c:pt idx="4">
                  <c:v>2003</c:v>
                </c:pt>
                <c:pt idx="5">
                  <c:v>2004</c:v>
                </c:pt>
                <c:pt idx="6">
                  <c:v>2005</c:v>
                </c:pt>
                <c:pt idx="7">
                  <c:v>2006</c:v>
                </c:pt>
              </c:numCache>
            </c:numRef>
          </c:cat>
          <c:val>
            <c:numRef>
              <c:f>'graphs (2)'!$X$104:$AE$104</c:f>
              <c:numCache>
                <c:formatCode>0.00</c:formatCode>
                <c:ptCount val="8"/>
                <c:pt idx="0">
                  <c:v>8.6787858588240605E-6</c:v>
                </c:pt>
                <c:pt idx="1">
                  <c:v>1.8422633374550772E-4</c:v>
                </c:pt>
                <c:pt idx="2">
                  <c:v>2.3748810100534669E-3</c:v>
                </c:pt>
                <c:pt idx="3">
                  <c:v>1.8371231983882057E-2</c:v>
                </c:pt>
                <c:pt idx="4">
                  <c:v>8.217525514042566E-2</c:v>
                </c:pt>
                <c:pt idx="5">
                  <c:v>0.20675374888636971</c:v>
                </c:pt>
                <c:pt idx="6">
                  <c:v>0.31587669539653263</c:v>
                </c:pt>
                <c:pt idx="7">
                  <c:v>0.33232342110665691</c:v>
                </c:pt>
              </c:numCache>
            </c:numRef>
          </c:val>
          <c:smooth val="0"/>
          <c:extLst>
            <c:ext xmlns:c16="http://schemas.microsoft.com/office/drawing/2014/chart" uri="{C3380CC4-5D6E-409C-BE32-E72D297353CC}">
              <c16:uniqueId val="{00000004-08C9-4558-9C9A-DD075385CCFA}"/>
            </c:ext>
          </c:extLst>
        </c:ser>
        <c:ser>
          <c:idx val="5"/>
          <c:order val="5"/>
          <c:tx>
            <c:strRef>
              <c:f>'graphs (2)'!$W$105</c:f>
              <c:strCache>
                <c:ptCount val="1"/>
                <c:pt idx="0">
                  <c:v>No degree &amp; low OP</c:v>
                </c:pt>
              </c:strCache>
            </c:strRef>
          </c:tx>
          <c:cat>
            <c:numRef>
              <c:f>'graphs (2)'!$X$99:$AE$99</c:f>
              <c:numCache>
                <c:formatCode>0</c:formatCode>
                <c:ptCount val="8"/>
                <c:pt idx="0">
                  <c:v>1999</c:v>
                </c:pt>
                <c:pt idx="1">
                  <c:v>2000</c:v>
                </c:pt>
                <c:pt idx="2">
                  <c:v>2001</c:v>
                </c:pt>
                <c:pt idx="3">
                  <c:v>2002</c:v>
                </c:pt>
                <c:pt idx="4">
                  <c:v>2003</c:v>
                </c:pt>
                <c:pt idx="5">
                  <c:v>2004</c:v>
                </c:pt>
                <c:pt idx="6">
                  <c:v>2005</c:v>
                </c:pt>
                <c:pt idx="7">
                  <c:v>2006</c:v>
                </c:pt>
              </c:numCache>
            </c:numRef>
          </c:cat>
          <c:val>
            <c:numRef>
              <c:f>'graphs (2)'!$X$105:$AE$105</c:f>
              <c:numCache>
                <c:formatCode>0.00</c:formatCode>
                <c:ptCount val="8"/>
                <c:pt idx="0">
                  <c:v>6.8637179285245496E-6</c:v>
                </c:pt>
                <c:pt idx="1">
                  <c:v>1.4570287091067284E-4</c:v>
                </c:pt>
                <c:pt idx="2">
                  <c:v>1.8791319697859504E-3</c:v>
                </c:pt>
                <c:pt idx="3">
                  <c:v>1.4585112703640287E-2</c:v>
                </c:pt>
                <c:pt idx="4">
                  <c:v>6.612557299785414E-2</c:v>
                </c:pt>
                <c:pt idx="5">
                  <c:v>0.17090322464800342</c:v>
                </c:pt>
                <c:pt idx="6">
                  <c:v>0.26748498065890453</c:v>
                </c:pt>
                <c:pt idx="7">
                  <c:v>0.28245236329017664</c:v>
                </c:pt>
              </c:numCache>
            </c:numRef>
          </c:val>
          <c:smooth val="0"/>
          <c:extLst>
            <c:ext xmlns:c16="http://schemas.microsoft.com/office/drawing/2014/chart" uri="{C3380CC4-5D6E-409C-BE32-E72D297353CC}">
              <c16:uniqueId val="{00000005-08C9-4558-9C9A-DD075385CCFA}"/>
            </c:ext>
          </c:extLst>
        </c:ser>
        <c:dLbls>
          <c:showLegendKey val="0"/>
          <c:showVal val="0"/>
          <c:showCatName val="0"/>
          <c:showSerName val="0"/>
          <c:showPercent val="0"/>
          <c:showBubbleSize val="0"/>
        </c:dLbls>
        <c:marker val="1"/>
        <c:smooth val="0"/>
        <c:axId val="422490880"/>
        <c:axId val="422492416"/>
      </c:lineChart>
      <c:catAx>
        <c:axId val="422490880"/>
        <c:scaling>
          <c:orientation val="minMax"/>
        </c:scaling>
        <c:delete val="0"/>
        <c:axPos val="b"/>
        <c:numFmt formatCode="0" sourceLinked="1"/>
        <c:majorTickMark val="out"/>
        <c:minorTickMark val="none"/>
        <c:tickLblPos val="nextTo"/>
        <c:crossAx val="422492416"/>
        <c:crosses val="autoZero"/>
        <c:auto val="1"/>
        <c:lblAlgn val="ctr"/>
        <c:lblOffset val="100"/>
        <c:noMultiLvlLbl val="0"/>
      </c:catAx>
      <c:valAx>
        <c:axId val="422492416"/>
        <c:scaling>
          <c:orientation val="minMax"/>
        </c:scaling>
        <c:delete val="0"/>
        <c:axPos val="l"/>
        <c:majorGridlines/>
        <c:title>
          <c:tx>
            <c:rich>
              <a:bodyPr rot="-5400000" vert="horz"/>
              <a:lstStyle/>
              <a:p>
                <a:pPr>
                  <a:defRPr/>
                </a:pPr>
                <a:r>
                  <a:rPr lang="en-AU" sz="900"/>
                  <a:t>Probability</a:t>
                </a:r>
              </a:p>
            </c:rich>
          </c:tx>
          <c:overlay val="0"/>
        </c:title>
        <c:numFmt formatCode="0%" sourceLinked="0"/>
        <c:majorTickMark val="out"/>
        <c:minorTickMark val="none"/>
        <c:tickLblPos val="nextTo"/>
        <c:crossAx val="42249088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0745017296866"/>
          <c:y val="3.5991806131694969E-2"/>
          <c:w val="0.86117971119334469"/>
          <c:h val="0.78197570540204286"/>
        </c:manualLayout>
      </c:layout>
      <c:barChart>
        <c:barDir val="col"/>
        <c:grouping val="clustered"/>
        <c:varyColors val="0"/>
        <c:ser>
          <c:idx val="0"/>
          <c:order val="0"/>
          <c:tx>
            <c:strRef>
              <c:f>Sheet1!$I$4:$I$6</c:f>
              <c:strCache>
                <c:ptCount val="3"/>
                <c:pt idx="0">
                  <c:v>All VET </c:v>
                </c:pt>
              </c:strCache>
            </c:strRef>
          </c:tx>
          <c:spPr>
            <a:solidFill>
              <a:schemeClr val="accent1"/>
            </a:solidFill>
            <a:ln>
              <a:noFill/>
            </a:ln>
            <a:effectLst/>
          </c:spPr>
          <c:invertIfNegative val="0"/>
          <c:errBars>
            <c:errBarType val="both"/>
            <c:errValType val="cust"/>
            <c:noEndCap val="0"/>
            <c:plus>
              <c:numRef>
                <c:f>(Sheet1!$I$8,Sheet1!$I$10,Sheet1!$I$12,Sheet1!$I$14)</c:f>
                <c:numCache>
                  <c:formatCode>General</c:formatCode>
                  <c:ptCount val="4"/>
                  <c:pt idx="0">
                    <c:v>1.5298499999999999</c:v>
                  </c:pt>
                  <c:pt idx="1">
                    <c:v>1.06925</c:v>
                  </c:pt>
                  <c:pt idx="2">
                    <c:v>1.3489000000000002</c:v>
                  </c:pt>
                  <c:pt idx="3">
                    <c:v>1.3132000000000001</c:v>
                  </c:pt>
                </c:numCache>
              </c:numRef>
            </c:plus>
            <c:minus>
              <c:numRef>
                <c:f>(Sheet1!$I$8,Sheet1!$I$10,Sheet1!$I$12,Sheet1!$I$14)</c:f>
                <c:numCache>
                  <c:formatCode>General</c:formatCode>
                  <c:ptCount val="4"/>
                  <c:pt idx="0">
                    <c:v>1.5298499999999999</c:v>
                  </c:pt>
                  <c:pt idx="1">
                    <c:v>1.06925</c:v>
                  </c:pt>
                  <c:pt idx="2">
                    <c:v>1.3489000000000002</c:v>
                  </c:pt>
                  <c:pt idx="3">
                    <c:v>1.3132000000000001</c:v>
                  </c:pt>
                </c:numCache>
              </c:numRef>
            </c:minus>
            <c:spPr>
              <a:noFill/>
              <a:ln w="9525" cap="flat" cmpd="sng" algn="ctr">
                <a:solidFill>
                  <a:schemeClr val="tx1">
                    <a:lumMod val="65000"/>
                    <a:lumOff val="35000"/>
                  </a:schemeClr>
                </a:solidFill>
                <a:round/>
              </a:ln>
              <a:effectLst/>
            </c:spPr>
          </c:errBars>
          <c:cat>
            <c:strRef>
              <c:f>(Sheet1!$H$7,Sheet1!$H$9,Sheet1!$H$11,Sheet1!$H$13)</c:f>
              <c:strCache>
                <c:ptCount val="4"/>
                <c:pt idx="0">
                  <c:v>Completed Year 12</c:v>
                </c:pt>
                <c:pt idx="1">
                  <c:v>Higher Education (Degree and above)</c:v>
                </c:pt>
                <c:pt idx="2">
                  <c:v>Higher level VET course (Cert. III-Diploma)</c:v>
                </c:pt>
                <c:pt idx="3">
                  <c:v>Foundation level VET course (Cert. I&amp;II)</c:v>
                </c:pt>
              </c:strCache>
            </c:strRef>
          </c:cat>
          <c:val>
            <c:numRef>
              <c:f>(Sheet1!$I$7,Sheet1!$I$9,Sheet1!$I$11,Sheet1!$I$13)</c:f>
              <c:numCache>
                <c:formatCode>General</c:formatCode>
                <c:ptCount val="4"/>
                <c:pt idx="0">
                  <c:v>13.69</c:v>
                </c:pt>
                <c:pt idx="1">
                  <c:v>-5.12</c:v>
                </c:pt>
                <c:pt idx="2">
                  <c:v>4.67</c:v>
                </c:pt>
                <c:pt idx="3">
                  <c:v>-0.28999999999999998</c:v>
                </c:pt>
              </c:numCache>
            </c:numRef>
          </c:val>
          <c:extLst>
            <c:ext xmlns:c16="http://schemas.microsoft.com/office/drawing/2014/chart" uri="{C3380CC4-5D6E-409C-BE32-E72D297353CC}">
              <c16:uniqueId val="{00000000-23B5-4321-A96B-00DB93F8D75E}"/>
            </c:ext>
          </c:extLst>
        </c:ser>
        <c:ser>
          <c:idx val="1"/>
          <c:order val="1"/>
          <c:tx>
            <c:strRef>
              <c:f>Sheet1!$J$4:$J$6</c:f>
              <c:strCache>
                <c:ptCount val="3"/>
                <c:pt idx="0">
                  <c:v>Classroom-based VET without WPL</c:v>
                </c:pt>
              </c:strCache>
            </c:strRef>
          </c:tx>
          <c:spPr>
            <a:solidFill>
              <a:schemeClr val="accent2"/>
            </a:solidFill>
            <a:ln>
              <a:noFill/>
            </a:ln>
            <a:effectLst/>
          </c:spPr>
          <c:invertIfNegative val="0"/>
          <c:errBars>
            <c:errBarType val="both"/>
            <c:errValType val="cust"/>
            <c:noEndCap val="0"/>
            <c:plus>
              <c:numRef>
                <c:f>(Sheet1!$J$8,Sheet1!$J$10,Sheet1!$J$12,Sheet1!$J$14)</c:f>
                <c:numCache>
                  <c:formatCode>General</c:formatCode>
                  <c:ptCount val="4"/>
                  <c:pt idx="0">
                    <c:v>2.1385000000000001</c:v>
                  </c:pt>
                  <c:pt idx="1">
                    <c:v>1.9575500000000003</c:v>
                  </c:pt>
                  <c:pt idx="2">
                    <c:v>1.8588499999999999</c:v>
                  </c:pt>
                  <c:pt idx="3">
                    <c:v>1.4476</c:v>
                  </c:pt>
                </c:numCache>
              </c:numRef>
            </c:plus>
            <c:minus>
              <c:numRef>
                <c:f>(Sheet1!$J$8,Sheet1!$J$10,Sheet1!$J$12,Sheet1!$J$14)</c:f>
                <c:numCache>
                  <c:formatCode>General</c:formatCode>
                  <c:ptCount val="4"/>
                  <c:pt idx="0">
                    <c:v>2.1385000000000001</c:v>
                  </c:pt>
                  <c:pt idx="1">
                    <c:v>1.9575500000000003</c:v>
                  </c:pt>
                  <c:pt idx="2">
                    <c:v>1.8588499999999999</c:v>
                  </c:pt>
                  <c:pt idx="3">
                    <c:v>1.4476</c:v>
                  </c:pt>
                </c:numCache>
              </c:numRef>
            </c:minus>
            <c:spPr>
              <a:noFill/>
              <a:ln w="9525" cap="flat" cmpd="sng" algn="ctr">
                <a:solidFill>
                  <a:schemeClr val="tx1">
                    <a:lumMod val="65000"/>
                    <a:lumOff val="35000"/>
                  </a:schemeClr>
                </a:solidFill>
                <a:round/>
              </a:ln>
              <a:effectLst/>
            </c:spPr>
          </c:errBars>
          <c:cat>
            <c:strRef>
              <c:f>(Sheet1!$H$7,Sheet1!$H$9,Sheet1!$H$11,Sheet1!$H$13)</c:f>
              <c:strCache>
                <c:ptCount val="4"/>
                <c:pt idx="0">
                  <c:v>Completed Year 12</c:v>
                </c:pt>
                <c:pt idx="1">
                  <c:v>Higher Education (Degree and above)</c:v>
                </c:pt>
                <c:pt idx="2">
                  <c:v>Higher level VET course (Cert. III-Diploma)</c:v>
                </c:pt>
                <c:pt idx="3">
                  <c:v>Foundation level VET course (Cert. I&amp;II)</c:v>
                </c:pt>
              </c:strCache>
            </c:strRef>
          </c:cat>
          <c:val>
            <c:numRef>
              <c:f>(Sheet1!$J$7,Sheet1!$J$9,Sheet1!$J$11,Sheet1!$J$13)</c:f>
              <c:numCache>
                <c:formatCode>General</c:formatCode>
                <c:ptCount val="4"/>
                <c:pt idx="0">
                  <c:v>6.9099999999999993</c:v>
                </c:pt>
                <c:pt idx="1">
                  <c:v>-4.1900000000000004</c:v>
                </c:pt>
                <c:pt idx="2">
                  <c:v>3.9600000000000004</c:v>
                </c:pt>
                <c:pt idx="3">
                  <c:v>-0.25</c:v>
                </c:pt>
              </c:numCache>
            </c:numRef>
          </c:val>
          <c:extLst>
            <c:ext xmlns:c16="http://schemas.microsoft.com/office/drawing/2014/chart" uri="{C3380CC4-5D6E-409C-BE32-E72D297353CC}">
              <c16:uniqueId val="{00000001-23B5-4321-A96B-00DB93F8D75E}"/>
            </c:ext>
          </c:extLst>
        </c:ser>
        <c:ser>
          <c:idx val="2"/>
          <c:order val="2"/>
          <c:tx>
            <c:strRef>
              <c:f>Sheet1!$K$4:$K$6</c:f>
              <c:strCache>
                <c:ptCount val="3"/>
                <c:pt idx="0">
                  <c:v>Classroom-based VET with WPL</c:v>
                </c:pt>
              </c:strCache>
            </c:strRef>
          </c:tx>
          <c:spPr>
            <a:solidFill>
              <a:schemeClr val="accent3"/>
            </a:solidFill>
            <a:ln>
              <a:noFill/>
            </a:ln>
            <a:effectLst/>
          </c:spPr>
          <c:invertIfNegative val="0"/>
          <c:errBars>
            <c:errBarType val="both"/>
            <c:errValType val="cust"/>
            <c:noEndCap val="0"/>
            <c:plus>
              <c:numRef>
                <c:f>(Sheet1!$K$8,Sheet1!$K$10,Sheet1!$K$12,Sheet1!$K$14)</c:f>
                <c:numCache>
                  <c:formatCode>General</c:formatCode>
                  <c:ptCount val="4"/>
                  <c:pt idx="0">
                    <c:v>2.0233500000000002</c:v>
                  </c:pt>
                  <c:pt idx="1">
                    <c:v>1.4804999999999999</c:v>
                  </c:pt>
                  <c:pt idx="2">
                    <c:v>1.9575500000000003</c:v>
                  </c:pt>
                  <c:pt idx="3">
                    <c:v>1.5133999999999999</c:v>
                  </c:pt>
                </c:numCache>
              </c:numRef>
            </c:plus>
            <c:minus>
              <c:numRef>
                <c:f>(Sheet1!$K$8,Sheet1!$K$10,Sheet1!$K$12,Sheet1!$K$14)</c:f>
                <c:numCache>
                  <c:formatCode>General</c:formatCode>
                  <c:ptCount val="4"/>
                  <c:pt idx="0">
                    <c:v>2.0233500000000002</c:v>
                  </c:pt>
                  <c:pt idx="1">
                    <c:v>1.4804999999999999</c:v>
                  </c:pt>
                  <c:pt idx="2">
                    <c:v>1.9575500000000003</c:v>
                  </c:pt>
                  <c:pt idx="3">
                    <c:v>1.5133999999999999</c:v>
                  </c:pt>
                </c:numCache>
              </c:numRef>
            </c:minus>
            <c:spPr>
              <a:noFill/>
              <a:ln w="9525" cap="flat" cmpd="sng" algn="ctr">
                <a:solidFill>
                  <a:schemeClr val="tx1">
                    <a:lumMod val="65000"/>
                    <a:lumOff val="35000"/>
                  </a:schemeClr>
                </a:solidFill>
                <a:round/>
              </a:ln>
              <a:effectLst/>
            </c:spPr>
          </c:errBars>
          <c:cat>
            <c:strRef>
              <c:f>(Sheet1!$H$7,Sheet1!$H$9,Sheet1!$H$11,Sheet1!$H$13)</c:f>
              <c:strCache>
                <c:ptCount val="4"/>
                <c:pt idx="0">
                  <c:v>Completed Year 12</c:v>
                </c:pt>
                <c:pt idx="1">
                  <c:v>Higher Education (Degree and above)</c:v>
                </c:pt>
                <c:pt idx="2">
                  <c:v>Higher level VET course (Cert. III-Diploma)</c:v>
                </c:pt>
                <c:pt idx="3">
                  <c:v>Foundation level VET course (Cert. I&amp;II)</c:v>
                </c:pt>
              </c:strCache>
            </c:strRef>
          </c:cat>
          <c:val>
            <c:numRef>
              <c:f>(Sheet1!$K$7,Sheet1!$K$9,Sheet1!$K$11,Sheet1!$K$13)</c:f>
              <c:numCache>
                <c:formatCode>General</c:formatCode>
                <c:ptCount val="4"/>
                <c:pt idx="0">
                  <c:v>14.27</c:v>
                </c:pt>
                <c:pt idx="1">
                  <c:v>-5.43</c:v>
                </c:pt>
                <c:pt idx="2">
                  <c:v>3.5700000000000003</c:v>
                </c:pt>
                <c:pt idx="3">
                  <c:v>0.18</c:v>
                </c:pt>
              </c:numCache>
            </c:numRef>
          </c:val>
          <c:extLst>
            <c:ext xmlns:c16="http://schemas.microsoft.com/office/drawing/2014/chart" uri="{C3380CC4-5D6E-409C-BE32-E72D297353CC}">
              <c16:uniqueId val="{00000002-23B5-4321-A96B-00DB93F8D75E}"/>
            </c:ext>
          </c:extLst>
        </c:ser>
        <c:ser>
          <c:idx val="3"/>
          <c:order val="3"/>
          <c:tx>
            <c:strRef>
              <c:f>Sheet1!$L$4:$L$6</c:f>
              <c:strCache>
                <c:ptCount val="3"/>
                <c:pt idx="0">
                  <c:v>Apprenticeship / Traineeship</c:v>
                </c:pt>
              </c:strCache>
            </c:strRef>
          </c:tx>
          <c:spPr>
            <a:solidFill>
              <a:schemeClr val="accent4"/>
            </a:solidFill>
            <a:ln>
              <a:noFill/>
            </a:ln>
            <a:effectLst/>
          </c:spPr>
          <c:invertIfNegative val="0"/>
          <c:errBars>
            <c:errBarType val="both"/>
            <c:errValType val="cust"/>
            <c:noEndCap val="0"/>
            <c:plus>
              <c:numRef>
                <c:f>(Sheet1!$L$8,Sheet1!$L$10,Sheet1!$L$12,Sheet1!$L$14)</c:f>
                <c:numCache>
                  <c:formatCode>General</c:formatCode>
                  <c:ptCount val="4"/>
                  <c:pt idx="0">
                    <c:v>3.4545000000000003</c:v>
                  </c:pt>
                  <c:pt idx="1">
                    <c:v>1.7601499999999997</c:v>
                  </c:pt>
                  <c:pt idx="2">
                    <c:v>2.8952</c:v>
                  </c:pt>
                  <c:pt idx="3">
                    <c:v>2.4839500000000001</c:v>
                  </c:pt>
                </c:numCache>
              </c:numRef>
            </c:plus>
            <c:minus>
              <c:numRef>
                <c:f>(Sheet1!$L$8,Sheet1!$L$10,Sheet1!$L$12,Sheet1!$L$14)</c:f>
                <c:numCache>
                  <c:formatCode>General</c:formatCode>
                  <c:ptCount val="4"/>
                  <c:pt idx="0">
                    <c:v>3.4545000000000003</c:v>
                  </c:pt>
                  <c:pt idx="1">
                    <c:v>1.7601499999999997</c:v>
                  </c:pt>
                  <c:pt idx="2">
                    <c:v>2.8952</c:v>
                  </c:pt>
                  <c:pt idx="3">
                    <c:v>2.4839500000000001</c:v>
                  </c:pt>
                </c:numCache>
              </c:numRef>
            </c:minus>
            <c:spPr>
              <a:noFill/>
              <a:ln w="9525" cap="flat" cmpd="sng" algn="ctr">
                <a:solidFill>
                  <a:schemeClr val="tx1">
                    <a:lumMod val="65000"/>
                    <a:lumOff val="35000"/>
                  </a:schemeClr>
                </a:solidFill>
                <a:round/>
              </a:ln>
              <a:effectLst/>
            </c:spPr>
          </c:errBars>
          <c:cat>
            <c:strRef>
              <c:f>(Sheet1!$H$7,Sheet1!$H$9,Sheet1!$H$11,Sheet1!$H$13)</c:f>
              <c:strCache>
                <c:ptCount val="4"/>
                <c:pt idx="0">
                  <c:v>Completed Year 12</c:v>
                </c:pt>
                <c:pt idx="1">
                  <c:v>Higher Education (Degree and above)</c:v>
                </c:pt>
                <c:pt idx="2">
                  <c:v>Higher level VET course (Cert. III-Diploma)</c:v>
                </c:pt>
                <c:pt idx="3">
                  <c:v>Foundation level VET course (Cert. I&amp;II)</c:v>
                </c:pt>
              </c:strCache>
            </c:strRef>
          </c:cat>
          <c:val>
            <c:numRef>
              <c:f>(Sheet1!$L$7,Sheet1!$L$9,Sheet1!$L$11,Sheet1!$L$13)</c:f>
              <c:numCache>
                <c:formatCode>General</c:formatCode>
                <c:ptCount val="4"/>
                <c:pt idx="0">
                  <c:v>11.06</c:v>
                </c:pt>
                <c:pt idx="1">
                  <c:v>-7.13</c:v>
                </c:pt>
                <c:pt idx="2">
                  <c:v>8.129999999999999</c:v>
                </c:pt>
                <c:pt idx="3">
                  <c:v>1.0699999999999998</c:v>
                </c:pt>
              </c:numCache>
            </c:numRef>
          </c:val>
          <c:extLst>
            <c:ext xmlns:c16="http://schemas.microsoft.com/office/drawing/2014/chart" uri="{C3380CC4-5D6E-409C-BE32-E72D297353CC}">
              <c16:uniqueId val="{00000003-23B5-4321-A96B-00DB93F8D75E}"/>
            </c:ext>
          </c:extLst>
        </c:ser>
        <c:dLbls>
          <c:showLegendKey val="0"/>
          <c:showVal val="0"/>
          <c:showCatName val="0"/>
          <c:showSerName val="0"/>
          <c:showPercent val="0"/>
          <c:showBubbleSize val="0"/>
        </c:dLbls>
        <c:gapWidth val="70"/>
        <c:overlap val="-27"/>
        <c:axId val="212261976"/>
        <c:axId val="212262368"/>
      </c:barChart>
      <c:catAx>
        <c:axId val="2122619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12262368"/>
        <c:crosses val="autoZero"/>
        <c:auto val="1"/>
        <c:lblAlgn val="ctr"/>
        <c:lblOffset val="100"/>
        <c:noMultiLvlLbl val="0"/>
      </c:catAx>
      <c:valAx>
        <c:axId val="212262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Percentage</a:t>
                </a:r>
                <a:r>
                  <a:rPr lang="en-AU" sz="1100" baseline="0"/>
                  <a:t> points</a:t>
                </a:r>
                <a:endParaRPr lang="en-AU" sz="1100"/>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12261976"/>
        <c:crosses val="autoZero"/>
        <c:crossBetween val="between"/>
      </c:valAx>
      <c:spPr>
        <a:noFill/>
        <a:ln>
          <a:noFill/>
        </a:ln>
        <a:effectLst/>
      </c:spPr>
    </c:plotArea>
    <c:legend>
      <c:legendPos val="b"/>
      <c:layout>
        <c:manualLayout>
          <c:xMode val="edge"/>
          <c:yMode val="edge"/>
          <c:x val="0.37277919053892583"/>
          <c:y val="1.2266551787409551E-3"/>
          <c:w val="0.46695973957318937"/>
          <c:h val="0.20368167579086005"/>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0745017296866"/>
          <c:y val="3.5991806131694969E-2"/>
          <c:w val="0.86117971119334469"/>
          <c:h val="0.78197570540204286"/>
        </c:manualLayout>
      </c:layout>
      <c:barChart>
        <c:barDir val="col"/>
        <c:grouping val="clustered"/>
        <c:varyColors val="0"/>
        <c:ser>
          <c:idx val="0"/>
          <c:order val="0"/>
          <c:tx>
            <c:strRef>
              <c:f>Sheet1!$I$4</c:f>
              <c:strCache>
                <c:ptCount val="1"/>
                <c:pt idx="0">
                  <c:v>All VET </c:v>
                </c:pt>
              </c:strCache>
            </c:strRef>
          </c:tx>
          <c:spPr>
            <a:solidFill>
              <a:schemeClr val="accent1"/>
            </a:solidFill>
            <a:ln>
              <a:noFill/>
            </a:ln>
            <a:effectLst/>
          </c:spPr>
          <c:invertIfNegative val="0"/>
          <c:errBars>
            <c:errBarType val="both"/>
            <c:errValType val="cust"/>
            <c:noEndCap val="0"/>
            <c:plus>
              <c:numRef>
                <c:f>(Sheet1!$I$21,Sheet1!$I$23,Sheet1!$I$25)</c:f>
                <c:numCache>
                  <c:formatCode>General</c:formatCode>
                  <c:ptCount val="3"/>
                  <c:pt idx="0">
                    <c:v>1.5627499999999999</c:v>
                  </c:pt>
                  <c:pt idx="1">
                    <c:v>1.5791999999999999</c:v>
                  </c:pt>
                  <c:pt idx="2">
                    <c:v>1.0528</c:v>
                  </c:pt>
                </c:numCache>
              </c:numRef>
            </c:plus>
            <c:minus>
              <c:numRef>
                <c:f>(Sheet1!$I$21,Sheet1!$I$23,Sheet1!$I$25)</c:f>
                <c:numCache>
                  <c:formatCode>General</c:formatCode>
                  <c:ptCount val="3"/>
                  <c:pt idx="0">
                    <c:v>1.5627499999999999</c:v>
                  </c:pt>
                  <c:pt idx="1">
                    <c:v>1.5791999999999999</c:v>
                  </c:pt>
                  <c:pt idx="2">
                    <c:v>1.0528</c:v>
                  </c:pt>
                </c:numCache>
              </c:numRef>
            </c:minus>
            <c:spPr>
              <a:noFill/>
              <a:ln w="9525" cap="flat" cmpd="sng" algn="ctr">
                <a:solidFill>
                  <a:schemeClr val="tx1">
                    <a:lumMod val="65000"/>
                    <a:lumOff val="35000"/>
                  </a:schemeClr>
                </a:solidFill>
                <a:round/>
              </a:ln>
              <a:effectLst/>
            </c:spPr>
          </c:errBars>
          <c:cat>
            <c:strRef>
              <c:f>(Sheet1!$H$20,Sheet1!$H$22,Sheet1!$H$24)</c:f>
              <c:strCache>
                <c:ptCount val="3"/>
                <c:pt idx="0">
                  <c:v>Full-time employed</c:v>
                </c:pt>
                <c:pt idx="1">
                  <c:v>Part-time employed</c:v>
                </c:pt>
                <c:pt idx="2">
                  <c:v>Not employed and not enrolled in a course</c:v>
                </c:pt>
              </c:strCache>
            </c:strRef>
          </c:cat>
          <c:val>
            <c:numRef>
              <c:f>(Sheet1!$I$20,Sheet1!$I$22,Sheet1!$I$24)</c:f>
              <c:numCache>
                <c:formatCode>General</c:formatCode>
                <c:ptCount val="3"/>
                <c:pt idx="0">
                  <c:v>3.05</c:v>
                </c:pt>
                <c:pt idx="1">
                  <c:v>-2.52</c:v>
                </c:pt>
                <c:pt idx="2">
                  <c:v>-0.86799999999999999</c:v>
                </c:pt>
              </c:numCache>
            </c:numRef>
          </c:val>
          <c:extLst>
            <c:ext xmlns:c16="http://schemas.microsoft.com/office/drawing/2014/chart" uri="{C3380CC4-5D6E-409C-BE32-E72D297353CC}">
              <c16:uniqueId val="{00000000-88D2-42AE-8BCD-6CB2486D88EA}"/>
            </c:ext>
          </c:extLst>
        </c:ser>
        <c:ser>
          <c:idx val="1"/>
          <c:order val="1"/>
          <c:tx>
            <c:strRef>
              <c:f>Sheet1!$J$4</c:f>
              <c:strCache>
                <c:ptCount val="1"/>
                <c:pt idx="0">
                  <c:v>Classroom-based VET without WPL</c:v>
                </c:pt>
              </c:strCache>
            </c:strRef>
          </c:tx>
          <c:spPr>
            <a:solidFill>
              <a:schemeClr val="accent2"/>
            </a:solidFill>
            <a:ln>
              <a:noFill/>
            </a:ln>
            <a:effectLst/>
          </c:spPr>
          <c:invertIfNegative val="0"/>
          <c:errBars>
            <c:errBarType val="both"/>
            <c:errValType val="cust"/>
            <c:noEndCap val="0"/>
            <c:plus>
              <c:numRef>
                <c:f>(Sheet1!$J$21,Sheet1!$J$23,Sheet1!$J$25)</c:f>
                <c:numCache>
                  <c:formatCode>General</c:formatCode>
                  <c:ptCount val="3"/>
                  <c:pt idx="0">
                    <c:v>2.2865500000000001</c:v>
                  </c:pt>
                  <c:pt idx="1">
                    <c:v>2.45105</c:v>
                  </c:pt>
                  <c:pt idx="2">
                    <c:v>1.49695</c:v>
                  </c:pt>
                </c:numCache>
              </c:numRef>
            </c:plus>
            <c:minus>
              <c:numRef>
                <c:f>(Sheet1!$J$21,Sheet1!$J$23,Sheet1!$J$25)</c:f>
                <c:numCache>
                  <c:formatCode>General</c:formatCode>
                  <c:ptCount val="3"/>
                  <c:pt idx="0">
                    <c:v>2.2865500000000001</c:v>
                  </c:pt>
                  <c:pt idx="1">
                    <c:v>2.45105</c:v>
                  </c:pt>
                  <c:pt idx="2">
                    <c:v>1.49695</c:v>
                  </c:pt>
                </c:numCache>
              </c:numRef>
            </c:minus>
            <c:spPr>
              <a:noFill/>
              <a:ln w="9525" cap="flat" cmpd="sng" algn="ctr">
                <a:solidFill>
                  <a:schemeClr val="tx1">
                    <a:lumMod val="65000"/>
                    <a:lumOff val="35000"/>
                  </a:schemeClr>
                </a:solidFill>
                <a:round/>
              </a:ln>
              <a:effectLst/>
            </c:spPr>
          </c:errBars>
          <c:cat>
            <c:strRef>
              <c:f>(Sheet1!$H$20,Sheet1!$H$22,Sheet1!$H$24)</c:f>
              <c:strCache>
                <c:ptCount val="3"/>
                <c:pt idx="0">
                  <c:v>Full-time employed</c:v>
                </c:pt>
                <c:pt idx="1">
                  <c:v>Part-time employed</c:v>
                </c:pt>
                <c:pt idx="2">
                  <c:v>Not employed and not enrolled in a course</c:v>
                </c:pt>
              </c:strCache>
            </c:strRef>
          </c:cat>
          <c:val>
            <c:numRef>
              <c:f>(Sheet1!$J$20,Sheet1!$J$22,Sheet1!$J$24)</c:f>
              <c:numCache>
                <c:formatCode>General</c:formatCode>
                <c:ptCount val="3"/>
                <c:pt idx="0">
                  <c:v>0.42</c:v>
                </c:pt>
                <c:pt idx="1">
                  <c:v>-3.2199999999999998</c:v>
                </c:pt>
                <c:pt idx="2">
                  <c:v>0.43</c:v>
                </c:pt>
              </c:numCache>
            </c:numRef>
          </c:val>
          <c:extLst>
            <c:ext xmlns:c16="http://schemas.microsoft.com/office/drawing/2014/chart" uri="{C3380CC4-5D6E-409C-BE32-E72D297353CC}">
              <c16:uniqueId val="{00000001-88D2-42AE-8BCD-6CB2486D88EA}"/>
            </c:ext>
          </c:extLst>
        </c:ser>
        <c:ser>
          <c:idx val="2"/>
          <c:order val="2"/>
          <c:tx>
            <c:strRef>
              <c:f>Sheet1!$K$4</c:f>
              <c:strCache>
                <c:ptCount val="1"/>
                <c:pt idx="0">
                  <c:v>Classroom-based VET with WPL</c:v>
                </c:pt>
              </c:strCache>
            </c:strRef>
          </c:tx>
          <c:spPr>
            <a:solidFill>
              <a:schemeClr val="accent3"/>
            </a:solidFill>
            <a:ln>
              <a:noFill/>
            </a:ln>
            <a:effectLst/>
          </c:spPr>
          <c:invertIfNegative val="0"/>
          <c:errBars>
            <c:errBarType val="both"/>
            <c:errValType val="cust"/>
            <c:noEndCap val="0"/>
            <c:plus>
              <c:numRef>
                <c:f>(Sheet1!$K$21,Sheet1!$K$23,Sheet1!$K$25)</c:f>
                <c:numCache>
                  <c:formatCode>General</c:formatCode>
                  <c:ptCount val="3"/>
                  <c:pt idx="0">
                    <c:v>2.0891500000000001</c:v>
                  </c:pt>
                  <c:pt idx="1">
                    <c:v>2.1878499999999996</c:v>
                  </c:pt>
                  <c:pt idx="2">
                    <c:v>1.4476</c:v>
                  </c:pt>
                </c:numCache>
              </c:numRef>
            </c:plus>
            <c:minus>
              <c:numRef>
                <c:f>(Sheet1!$K$21,Sheet1!$K$23,Sheet1!$K$25)</c:f>
                <c:numCache>
                  <c:formatCode>General</c:formatCode>
                  <c:ptCount val="3"/>
                  <c:pt idx="0">
                    <c:v>2.0891500000000001</c:v>
                  </c:pt>
                  <c:pt idx="1">
                    <c:v>2.1878499999999996</c:v>
                  </c:pt>
                  <c:pt idx="2">
                    <c:v>1.4476</c:v>
                  </c:pt>
                </c:numCache>
              </c:numRef>
            </c:minus>
            <c:spPr>
              <a:noFill/>
              <a:ln w="9525" cap="flat" cmpd="sng" algn="ctr">
                <a:solidFill>
                  <a:schemeClr val="tx1">
                    <a:lumMod val="65000"/>
                    <a:lumOff val="35000"/>
                  </a:schemeClr>
                </a:solidFill>
                <a:round/>
              </a:ln>
              <a:effectLst/>
            </c:spPr>
          </c:errBars>
          <c:cat>
            <c:strRef>
              <c:f>(Sheet1!$H$20,Sheet1!$H$22,Sheet1!$H$24)</c:f>
              <c:strCache>
                <c:ptCount val="3"/>
                <c:pt idx="0">
                  <c:v>Full-time employed</c:v>
                </c:pt>
                <c:pt idx="1">
                  <c:v>Part-time employed</c:v>
                </c:pt>
                <c:pt idx="2">
                  <c:v>Not employed and not enrolled in a course</c:v>
                </c:pt>
              </c:strCache>
            </c:strRef>
          </c:cat>
          <c:val>
            <c:numRef>
              <c:f>(Sheet1!$K$20,Sheet1!$K$22,Sheet1!$K$24)</c:f>
              <c:numCache>
                <c:formatCode>General</c:formatCode>
                <c:ptCount val="3"/>
                <c:pt idx="0">
                  <c:v>2.3800000000000003</c:v>
                </c:pt>
                <c:pt idx="1">
                  <c:v>-0.79</c:v>
                </c:pt>
                <c:pt idx="2">
                  <c:v>-1.41</c:v>
                </c:pt>
              </c:numCache>
            </c:numRef>
          </c:val>
          <c:extLst>
            <c:ext xmlns:c16="http://schemas.microsoft.com/office/drawing/2014/chart" uri="{C3380CC4-5D6E-409C-BE32-E72D297353CC}">
              <c16:uniqueId val="{00000002-88D2-42AE-8BCD-6CB2486D88EA}"/>
            </c:ext>
          </c:extLst>
        </c:ser>
        <c:ser>
          <c:idx val="3"/>
          <c:order val="3"/>
          <c:tx>
            <c:strRef>
              <c:f>Sheet1!$L$4</c:f>
              <c:strCache>
                <c:ptCount val="1"/>
                <c:pt idx="0">
                  <c:v>Apprenticeship / Traineeship</c:v>
                </c:pt>
              </c:strCache>
            </c:strRef>
          </c:tx>
          <c:spPr>
            <a:solidFill>
              <a:schemeClr val="accent4"/>
            </a:solidFill>
            <a:ln>
              <a:noFill/>
            </a:ln>
            <a:effectLst/>
          </c:spPr>
          <c:invertIfNegative val="0"/>
          <c:errBars>
            <c:errBarType val="both"/>
            <c:errValType val="cust"/>
            <c:noEndCap val="0"/>
            <c:plus>
              <c:numRef>
                <c:f>(Sheet1!$L$21,Sheet1!$L$23,Sheet1!$L$25)</c:f>
                <c:numCache>
                  <c:formatCode>General</c:formatCode>
                  <c:ptCount val="3"/>
                  <c:pt idx="0">
                    <c:v>3.3229000000000002</c:v>
                  </c:pt>
                  <c:pt idx="1">
                    <c:v>3.2077499999999999</c:v>
                  </c:pt>
                  <c:pt idx="2">
                    <c:v>2.1055999999999999</c:v>
                  </c:pt>
                </c:numCache>
              </c:numRef>
            </c:plus>
            <c:minus>
              <c:numRef>
                <c:f>(Sheet1!$L$21,Sheet1!$L$23,Sheet1!$L$25)</c:f>
                <c:numCache>
                  <c:formatCode>General</c:formatCode>
                  <c:ptCount val="3"/>
                  <c:pt idx="0">
                    <c:v>3.3229000000000002</c:v>
                  </c:pt>
                  <c:pt idx="1">
                    <c:v>3.2077499999999999</c:v>
                  </c:pt>
                  <c:pt idx="2">
                    <c:v>2.1055999999999999</c:v>
                  </c:pt>
                </c:numCache>
              </c:numRef>
            </c:minus>
            <c:spPr>
              <a:noFill/>
              <a:ln w="9525" cap="flat" cmpd="sng" algn="ctr">
                <a:solidFill>
                  <a:schemeClr val="tx1">
                    <a:lumMod val="65000"/>
                    <a:lumOff val="35000"/>
                  </a:schemeClr>
                </a:solidFill>
                <a:round/>
              </a:ln>
              <a:effectLst/>
            </c:spPr>
          </c:errBars>
          <c:cat>
            <c:strRef>
              <c:f>(Sheet1!$H$20,Sheet1!$H$22,Sheet1!$H$24)</c:f>
              <c:strCache>
                <c:ptCount val="3"/>
                <c:pt idx="0">
                  <c:v>Full-time employed</c:v>
                </c:pt>
                <c:pt idx="1">
                  <c:v>Part-time employed</c:v>
                </c:pt>
                <c:pt idx="2">
                  <c:v>Not employed and not enrolled in a course</c:v>
                </c:pt>
              </c:strCache>
            </c:strRef>
          </c:cat>
          <c:val>
            <c:numRef>
              <c:f>(Sheet1!$L$20,Sheet1!$L$22,Sheet1!$L$24)</c:f>
              <c:numCache>
                <c:formatCode>General</c:formatCode>
                <c:ptCount val="3"/>
                <c:pt idx="0">
                  <c:v>10.41</c:v>
                </c:pt>
                <c:pt idx="1">
                  <c:v>-6.2700000000000005</c:v>
                </c:pt>
                <c:pt idx="2">
                  <c:v>-0.89</c:v>
                </c:pt>
              </c:numCache>
            </c:numRef>
          </c:val>
          <c:extLst>
            <c:ext xmlns:c16="http://schemas.microsoft.com/office/drawing/2014/chart" uri="{C3380CC4-5D6E-409C-BE32-E72D297353CC}">
              <c16:uniqueId val="{00000003-88D2-42AE-8BCD-6CB2486D88EA}"/>
            </c:ext>
          </c:extLst>
        </c:ser>
        <c:dLbls>
          <c:showLegendKey val="0"/>
          <c:showVal val="0"/>
          <c:showCatName val="0"/>
          <c:showSerName val="0"/>
          <c:showPercent val="0"/>
          <c:showBubbleSize val="0"/>
        </c:dLbls>
        <c:gapWidth val="70"/>
        <c:overlap val="-27"/>
        <c:axId val="212263152"/>
        <c:axId val="376445616"/>
      </c:barChart>
      <c:catAx>
        <c:axId val="2122631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76445616"/>
        <c:crosses val="autoZero"/>
        <c:auto val="1"/>
        <c:lblAlgn val="ctr"/>
        <c:lblOffset val="100"/>
        <c:noMultiLvlLbl val="0"/>
      </c:catAx>
      <c:valAx>
        <c:axId val="376445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Percentage</a:t>
                </a:r>
                <a:r>
                  <a:rPr lang="en-AU" sz="1100" baseline="0"/>
                  <a:t> points</a:t>
                </a:r>
                <a:endParaRPr lang="en-AU" sz="1100"/>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12263152"/>
        <c:crosses val="autoZero"/>
        <c:crossBetween val="between"/>
      </c:valAx>
      <c:spPr>
        <a:noFill/>
        <a:ln>
          <a:noFill/>
        </a:ln>
        <a:effectLst/>
      </c:spPr>
    </c:plotArea>
    <c:legend>
      <c:legendPos val="b"/>
      <c:layout>
        <c:manualLayout>
          <c:xMode val="edge"/>
          <c:yMode val="edge"/>
          <c:x val="0.46894055890072556"/>
          <c:y val="4.1569378295798133E-2"/>
          <c:w val="0.45802645257578095"/>
          <c:h val="0.21662047563203535"/>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0745017296866"/>
          <c:y val="3.5991806131694969E-2"/>
          <c:w val="0.86117971119334469"/>
          <c:h val="0.78197570540204286"/>
        </c:manualLayout>
      </c:layout>
      <c:barChart>
        <c:barDir val="col"/>
        <c:grouping val="clustered"/>
        <c:varyColors val="0"/>
        <c:ser>
          <c:idx val="0"/>
          <c:order val="0"/>
          <c:tx>
            <c:strRef>
              <c:f>Sheet1!$I$4</c:f>
              <c:strCache>
                <c:ptCount val="1"/>
                <c:pt idx="0">
                  <c:v>All VET </c:v>
                </c:pt>
              </c:strCache>
            </c:strRef>
          </c:tx>
          <c:spPr>
            <a:solidFill>
              <a:schemeClr val="accent1"/>
            </a:solidFill>
            <a:ln>
              <a:noFill/>
            </a:ln>
            <a:effectLst/>
          </c:spPr>
          <c:invertIfNegative val="0"/>
          <c:errBars>
            <c:errBarType val="both"/>
            <c:errValType val="cust"/>
            <c:noEndCap val="0"/>
            <c:plus>
              <c:numRef>
                <c:f>(Sheet1!$I$28,Sheet1!$I$30)</c:f>
                <c:numCache>
                  <c:formatCode>General</c:formatCode>
                  <c:ptCount val="2"/>
                  <c:pt idx="0">
                    <c:v>2.6155500000000003</c:v>
                  </c:pt>
                  <c:pt idx="1">
                    <c:v>13.927557</c:v>
                  </c:pt>
                </c:numCache>
              </c:numRef>
            </c:plus>
            <c:minus>
              <c:numRef>
                <c:f>(Sheet1!$I$28,Sheet1!$I$30)</c:f>
                <c:numCache>
                  <c:formatCode>General</c:formatCode>
                  <c:ptCount val="2"/>
                  <c:pt idx="0">
                    <c:v>2.6155500000000003</c:v>
                  </c:pt>
                  <c:pt idx="1">
                    <c:v>13.927557</c:v>
                  </c:pt>
                </c:numCache>
              </c:numRef>
            </c:minus>
            <c:spPr>
              <a:noFill/>
              <a:ln w="9525" cap="flat" cmpd="sng" algn="ctr">
                <a:solidFill>
                  <a:schemeClr val="tx1">
                    <a:lumMod val="65000"/>
                    <a:lumOff val="35000"/>
                  </a:schemeClr>
                </a:solidFill>
                <a:round/>
              </a:ln>
              <a:effectLst/>
            </c:spPr>
          </c:errBars>
          <c:cat>
            <c:strRef>
              <c:f>(Sheet1!$H$27,Sheet1!$H$29)</c:f>
              <c:strCache>
                <c:ptCount val="2"/>
                <c:pt idx="0">
                  <c:v>Want current job as a career (% pt.)</c:v>
                </c:pt>
                <c:pt idx="1">
                  <c:v>Weekly wage ($A 2009)</c:v>
                </c:pt>
              </c:strCache>
            </c:strRef>
          </c:cat>
          <c:val>
            <c:numRef>
              <c:f>(Sheet1!$I$27,Sheet1!$I$29)</c:f>
              <c:numCache>
                <c:formatCode>General</c:formatCode>
                <c:ptCount val="2"/>
                <c:pt idx="0">
                  <c:v>4.82</c:v>
                </c:pt>
                <c:pt idx="1">
                  <c:v>7.4409999999999998</c:v>
                </c:pt>
              </c:numCache>
            </c:numRef>
          </c:val>
          <c:extLst>
            <c:ext xmlns:c16="http://schemas.microsoft.com/office/drawing/2014/chart" uri="{C3380CC4-5D6E-409C-BE32-E72D297353CC}">
              <c16:uniqueId val="{00000000-1D93-4C5C-8E8A-3E2B72E7DEE0}"/>
            </c:ext>
          </c:extLst>
        </c:ser>
        <c:ser>
          <c:idx val="1"/>
          <c:order val="1"/>
          <c:tx>
            <c:strRef>
              <c:f>Sheet1!$J$4</c:f>
              <c:strCache>
                <c:ptCount val="1"/>
                <c:pt idx="0">
                  <c:v>Classroom-based VET without WPL</c:v>
                </c:pt>
              </c:strCache>
            </c:strRef>
          </c:tx>
          <c:spPr>
            <a:solidFill>
              <a:schemeClr val="accent2"/>
            </a:solidFill>
            <a:ln>
              <a:noFill/>
            </a:ln>
            <a:effectLst/>
          </c:spPr>
          <c:invertIfNegative val="0"/>
          <c:errBars>
            <c:errBarType val="both"/>
            <c:errValType val="cust"/>
            <c:noEndCap val="0"/>
            <c:plus>
              <c:numRef>
                <c:f>(Sheet1!$J$28,Sheet1!$J$30)</c:f>
                <c:numCache>
                  <c:formatCode>General</c:formatCode>
                  <c:ptCount val="2"/>
                  <c:pt idx="0">
                    <c:v>4.2934500000000009</c:v>
                  </c:pt>
                  <c:pt idx="1">
                    <c:v>22.925048999999998</c:v>
                  </c:pt>
                </c:numCache>
              </c:numRef>
            </c:plus>
            <c:minus>
              <c:numRef>
                <c:f>(Sheet1!$J$28,Sheet1!$J$30)</c:f>
                <c:numCache>
                  <c:formatCode>General</c:formatCode>
                  <c:ptCount val="2"/>
                  <c:pt idx="0">
                    <c:v>4.2934500000000009</c:v>
                  </c:pt>
                  <c:pt idx="1">
                    <c:v>22.925048999999998</c:v>
                  </c:pt>
                </c:numCache>
              </c:numRef>
            </c:minus>
            <c:spPr>
              <a:noFill/>
              <a:ln w="9525" cap="flat" cmpd="sng" algn="ctr">
                <a:solidFill>
                  <a:schemeClr val="tx1">
                    <a:lumMod val="65000"/>
                    <a:lumOff val="35000"/>
                  </a:schemeClr>
                </a:solidFill>
                <a:round/>
              </a:ln>
              <a:effectLst/>
            </c:spPr>
          </c:errBars>
          <c:cat>
            <c:strRef>
              <c:f>(Sheet1!$H$27,Sheet1!$H$29)</c:f>
              <c:strCache>
                <c:ptCount val="2"/>
                <c:pt idx="0">
                  <c:v>Want current job as a career (% pt.)</c:v>
                </c:pt>
                <c:pt idx="1">
                  <c:v>Weekly wage ($A 2009)</c:v>
                </c:pt>
              </c:strCache>
            </c:strRef>
          </c:cat>
          <c:val>
            <c:numRef>
              <c:f>(Sheet1!$J$27,Sheet1!$J$29)</c:f>
              <c:numCache>
                <c:formatCode>General</c:formatCode>
                <c:ptCount val="2"/>
                <c:pt idx="0">
                  <c:v>3.32</c:v>
                </c:pt>
                <c:pt idx="1">
                  <c:v>-10.903</c:v>
                </c:pt>
              </c:numCache>
            </c:numRef>
          </c:val>
          <c:extLst>
            <c:ext xmlns:c16="http://schemas.microsoft.com/office/drawing/2014/chart" uri="{C3380CC4-5D6E-409C-BE32-E72D297353CC}">
              <c16:uniqueId val="{00000001-1D93-4C5C-8E8A-3E2B72E7DEE0}"/>
            </c:ext>
          </c:extLst>
        </c:ser>
        <c:ser>
          <c:idx val="2"/>
          <c:order val="2"/>
          <c:tx>
            <c:strRef>
              <c:f>Sheet1!$K$4</c:f>
              <c:strCache>
                <c:ptCount val="1"/>
                <c:pt idx="0">
                  <c:v>Classroom-based VET with WPL</c:v>
                </c:pt>
              </c:strCache>
            </c:strRef>
          </c:tx>
          <c:spPr>
            <a:solidFill>
              <a:schemeClr val="accent3"/>
            </a:solidFill>
            <a:ln>
              <a:noFill/>
            </a:ln>
            <a:effectLst/>
          </c:spPr>
          <c:invertIfNegative val="0"/>
          <c:errBars>
            <c:errBarType val="both"/>
            <c:errValType val="cust"/>
            <c:noEndCap val="0"/>
            <c:plus>
              <c:numRef>
                <c:f>(Sheet1!$K$28,Sheet1!$K$30)</c:f>
                <c:numCache>
                  <c:formatCode>General</c:formatCode>
                  <c:ptCount val="2"/>
                  <c:pt idx="0">
                    <c:v>3.6025499999999999</c:v>
                  </c:pt>
                  <c:pt idx="1">
                    <c:v>20.957793500000001</c:v>
                  </c:pt>
                </c:numCache>
              </c:numRef>
            </c:plus>
            <c:minus>
              <c:numRef>
                <c:f>(Sheet1!$K$28,Sheet1!$K$30)</c:f>
                <c:numCache>
                  <c:formatCode>General</c:formatCode>
                  <c:ptCount val="2"/>
                  <c:pt idx="0">
                    <c:v>3.6025499999999999</c:v>
                  </c:pt>
                  <c:pt idx="1">
                    <c:v>20.957793500000001</c:v>
                  </c:pt>
                </c:numCache>
              </c:numRef>
            </c:minus>
            <c:spPr>
              <a:noFill/>
              <a:ln w="9525" cap="flat" cmpd="sng" algn="ctr">
                <a:solidFill>
                  <a:schemeClr val="tx1">
                    <a:lumMod val="65000"/>
                    <a:lumOff val="35000"/>
                  </a:schemeClr>
                </a:solidFill>
                <a:round/>
              </a:ln>
              <a:effectLst/>
            </c:spPr>
          </c:errBars>
          <c:cat>
            <c:strRef>
              <c:f>(Sheet1!$H$27,Sheet1!$H$29)</c:f>
              <c:strCache>
                <c:ptCount val="2"/>
                <c:pt idx="0">
                  <c:v>Want current job as a career (% pt.)</c:v>
                </c:pt>
                <c:pt idx="1">
                  <c:v>Weekly wage ($A 2009)</c:v>
                </c:pt>
              </c:strCache>
            </c:strRef>
          </c:cat>
          <c:val>
            <c:numRef>
              <c:f>(Sheet1!$K$27,Sheet1!$K$29)</c:f>
              <c:numCache>
                <c:formatCode>General</c:formatCode>
                <c:ptCount val="2"/>
                <c:pt idx="0">
                  <c:v>3.9600000000000004</c:v>
                </c:pt>
                <c:pt idx="1">
                  <c:v>24.952000000000002</c:v>
                </c:pt>
              </c:numCache>
            </c:numRef>
          </c:val>
          <c:extLst>
            <c:ext xmlns:c16="http://schemas.microsoft.com/office/drawing/2014/chart" uri="{C3380CC4-5D6E-409C-BE32-E72D297353CC}">
              <c16:uniqueId val="{00000002-1D93-4C5C-8E8A-3E2B72E7DEE0}"/>
            </c:ext>
          </c:extLst>
        </c:ser>
        <c:ser>
          <c:idx val="3"/>
          <c:order val="3"/>
          <c:tx>
            <c:strRef>
              <c:f>Sheet1!$L$4</c:f>
              <c:strCache>
                <c:ptCount val="1"/>
                <c:pt idx="0">
                  <c:v>Apprenticeship / Traineeship</c:v>
                </c:pt>
              </c:strCache>
            </c:strRef>
          </c:tx>
          <c:spPr>
            <a:solidFill>
              <a:schemeClr val="accent4"/>
            </a:solidFill>
            <a:ln>
              <a:noFill/>
            </a:ln>
            <a:effectLst/>
          </c:spPr>
          <c:invertIfNegative val="0"/>
          <c:errBars>
            <c:errBarType val="both"/>
            <c:errValType val="cust"/>
            <c:noEndCap val="0"/>
            <c:plus>
              <c:numRef>
                <c:f>(Sheet1!$L$28,Sheet1!$L$30)</c:f>
                <c:numCache>
                  <c:formatCode>General</c:formatCode>
                  <c:ptCount val="2"/>
                  <c:pt idx="0">
                    <c:v>4.6060000000000008</c:v>
                  </c:pt>
                  <c:pt idx="1">
                    <c:v>23.293364499999999</c:v>
                  </c:pt>
                </c:numCache>
              </c:numRef>
            </c:plus>
            <c:minus>
              <c:numRef>
                <c:f>(Sheet1!$L$28,Sheet1!$L$30)</c:f>
                <c:numCache>
                  <c:formatCode>General</c:formatCode>
                  <c:ptCount val="2"/>
                  <c:pt idx="0">
                    <c:v>4.6060000000000008</c:v>
                  </c:pt>
                  <c:pt idx="1">
                    <c:v>23.293364499999999</c:v>
                  </c:pt>
                </c:numCache>
              </c:numRef>
            </c:minus>
            <c:spPr>
              <a:noFill/>
              <a:ln w="9525" cap="flat" cmpd="sng" algn="ctr">
                <a:solidFill>
                  <a:schemeClr val="tx1">
                    <a:lumMod val="65000"/>
                    <a:lumOff val="35000"/>
                  </a:schemeClr>
                </a:solidFill>
                <a:round/>
              </a:ln>
              <a:effectLst/>
            </c:spPr>
          </c:errBars>
          <c:cat>
            <c:strRef>
              <c:f>(Sheet1!$H$27,Sheet1!$H$29)</c:f>
              <c:strCache>
                <c:ptCount val="2"/>
                <c:pt idx="0">
                  <c:v>Want current job as a career (% pt.)</c:v>
                </c:pt>
                <c:pt idx="1">
                  <c:v>Weekly wage ($A 2009)</c:v>
                </c:pt>
              </c:strCache>
            </c:strRef>
          </c:cat>
          <c:val>
            <c:numRef>
              <c:f>(Sheet1!$L$27,Sheet1!$L$29)</c:f>
              <c:numCache>
                <c:formatCode>General</c:formatCode>
                <c:ptCount val="2"/>
                <c:pt idx="0">
                  <c:v>11.83</c:v>
                </c:pt>
                <c:pt idx="1">
                  <c:v>-24.734000000000002</c:v>
                </c:pt>
              </c:numCache>
            </c:numRef>
          </c:val>
          <c:extLst>
            <c:ext xmlns:c16="http://schemas.microsoft.com/office/drawing/2014/chart" uri="{C3380CC4-5D6E-409C-BE32-E72D297353CC}">
              <c16:uniqueId val="{00000003-1D93-4C5C-8E8A-3E2B72E7DEE0}"/>
            </c:ext>
          </c:extLst>
        </c:ser>
        <c:dLbls>
          <c:showLegendKey val="0"/>
          <c:showVal val="0"/>
          <c:showCatName val="0"/>
          <c:showSerName val="0"/>
          <c:showPercent val="0"/>
          <c:showBubbleSize val="0"/>
        </c:dLbls>
        <c:gapWidth val="70"/>
        <c:overlap val="-27"/>
        <c:axId val="376446792"/>
        <c:axId val="376447184"/>
      </c:barChart>
      <c:catAx>
        <c:axId val="3764467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76447184"/>
        <c:crosses val="autoZero"/>
        <c:auto val="1"/>
        <c:lblAlgn val="ctr"/>
        <c:lblOffset val="100"/>
        <c:noMultiLvlLbl val="0"/>
      </c:catAx>
      <c:valAx>
        <c:axId val="376447184"/>
        <c:scaling>
          <c:orientation val="minMax"/>
          <c:max val="50"/>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76446792"/>
        <c:crosses val="autoZero"/>
        <c:crossBetween val="between"/>
      </c:valAx>
      <c:spPr>
        <a:noFill/>
        <a:ln>
          <a:noFill/>
        </a:ln>
        <a:effectLst/>
      </c:spPr>
    </c:plotArea>
    <c:legend>
      <c:legendPos val="b"/>
      <c:layout>
        <c:manualLayout>
          <c:xMode val="edge"/>
          <c:yMode val="edge"/>
          <c:x val="0.14184582040881252"/>
          <c:y val="5.0306227053666656E-2"/>
          <c:w val="0.42926833792419056"/>
          <c:h val="0.20040969341525142"/>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Never NEET</c:v>
                </c:pt>
              </c:strCache>
            </c:strRef>
          </c:tx>
          <c:spPr>
            <a:solidFill>
              <a:srgbClr val="BF311A"/>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Y03</c:v>
                </c:pt>
                <c:pt idx="1">
                  <c:v>Y06</c:v>
                </c:pt>
              </c:strCache>
            </c:strRef>
          </c:cat>
          <c:val>
            <c:numRef>
              <c:f>Sheet1!$B$2:$B$3</c:f>
              <c:numCache>
                <c:formatCode>0.0%</c:formatCode>
                <c:ptCount val="2"/>
                <c:pt idx="0">
                  <c:v>0.74199999999999999</c:v>
                </c:pt>
                <c:pt idx="1">
                  <c:v>0.60799999999999998</c:v>
                </c:pt>
              </c:numCache>
            </c:numRef>
          </c:val>
          <c:extLst>
            <c:ext xmlns:c16="http://schemas.microsoft.com/office/drawing/2014/chart" uri="{C3380CC4-5D6E-409C-BE32-E72D297353CC}">
              <c16:uniqueId val="{00000000-B8C2-464A-9C1A-1028073AD550}"/>
            </c:ext>
          </c:extLst>
        </c:ser>
        <c:ser>
          <c:idx val="1"/>
          <c:order val="1"/>
          <c:tx>
            <c:strRef>
              <c:f>Sheet1!$C$1</c:f>
              <c:strCache>
                <c:ptCount val="1"/>
                <c:pt idx="0">
                  <c:v>Ever NEET</c:v>
                </c:pt>
              </c:strCache>
            </c:strRef>
          </c:tx>
          <c:spPr>
            <a:solidFill>
              <a:srgbClr val="49A942"/>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Y03</c:v>
                </c:pt>
                <c:pt idx="1">
                  <c:v>Y06</c:v>
                </c:pt>
              </c:strCache>
            </c:strRef>
          </c:cat>
          <c:val>
            <c:numRef>
              <c:f>Sheet1!$C$2:$C$3</c:f>
              <c:numCache>
                <c:formatCode>0.0%</c:formatCode>
                <c:ptCount val="2"/>
                <c:pt idx="0">
                  <c:v>0.25800000000000001</c:v>
                </c:pt>
                <c:pt idx="1">
                  <c:v>0.39200000000000002</c:v>
                </c:pt>
              </c:numCache>
            </c:numRef>
          </c:val>
          <c:extLst>
            <c:ext xmlns:c16="http://schemas.microsoft.com/office/drawing/2014/chart" uri="{C3380CC4-5D6E-409C-BE32-E72D297353CC}">
              <c16:uniqueId val="{00000001-B8C2-464A-9C1A-1028073AD550}"/>
            </c:ext>
          </c:extLst>
        </c:ser>
        <c:ser>
          <c:idx val="2"/>
          <c:order val="2"/>
          <c:tx>
            <c:strRef>
              <c:f>Sheet1!$D$1</c:f>
              <c:strCache>
                <c:ptCount val="1"/>
                <c:pt idx="0">
                  <c:v>Persistently NEET</c:v>
                </c:pt>
              </c:strCache>
            </c:strRef>
          </c:tx>
          <c:spPr>
            <a:solidFill>
              <a:srgbClr val="116CC6"/>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Y03</c:v>
                </c:pt>
                <c:pt idx="1">
                  <c:v>Y06</c:v>
                </c:pt>
              </c:strCache>
            </c:strRef>
          </c:cat>
          <c:val>
            <c:numRef>
              <c:f>Sheet1!$D$2:$D$3</c:f>
              <c:numCache>
                <c:formatCode>0.0%</c:formatCode>
                <c:ptCount val="2"/>
                <c:pt idx="0">
                  <c:v>0.107</c:v>
                </c:pt>
                <c:pt idx="1">
                  <c:v>0.17100000000000001</c:v>
                </c:pt>
              </c:numCache>
            </c:numRef>
          </c:val>
          <c:extLst>
            <c:ext xmlns:c16="http://schemas.microsoft.com/office/drawing/2014/chart" uri="{C3380CC4-5D6E-409C-BE32-E72D297353CC}">
              <c16:uniqueId val="{00000002-B8C2-464A-9C1A-1028073AD550}"/>
            </c:ext>
          </c:extLst>
        </c:ser>
        <c:dLbls>
          <c:dLblPos val="outEnd"/>
          <c:showLegendKey val="0"/>
          <c:showVal val="1"/>
          <c:showCatName val="0"/>
          <c:showSerName val="0"/>
          <c:showPercent val="0"/>
          <c:showBubbleSize val="0"/>
        </c:dLbls>
        <c:gapWidth val="150"/>
        <c:axId val="381122432"/>
        <c:axId val="381535360"/>
      </c:barChart>
      <c:catAx>
        <c:axId val="381122432"/>
        <c:scaling>
          <c:orientation val="minMax"/>
        </c:scaling>
        <c:delete val="0"/>
        <c:axPos val="b"/>
        <c:numFmt formatCode="General" sourceLinked="0"/>
        <c:majorTickMark val="out"/>
        <c:minorTickMark val="none"/>
        <c:tickLblPos val="nextTo"/>
        <c:crossAx val="381535360"/>
        <c:crosses val="autoZero"/>
        <c:auto val="1"/>
        <c:lblAlgn val="ctr"/>
        <c:lblOffset val="100"/>
        <c:noMultiLvlLbl val="0"/>
      </c:catAx>
      <c:valAx>
        <c:axId val="381535360"/>
        <c:scaling>
          <c:orientation val="minMax"/>
          <c:max val="1"/>
        </c:scaling>
        <c:delete val="0"/>
        <c:axPos val="l"/>
        <c:numFmt formatCode="0.0%" sourceLinked="1"/>
        <c:majorTickMark val="out"/>
        <c:minorTickMark val="none"/>
        <c:tickLblPos val="nextTo"/>
        <c:crossAx val="381122432"/>
        <c:crosses val="autoZero"/>
        <c:crossBetween val="between"/>
      </c:valAx>
      <c:spPr>
        <a:ln>
          <a:noFill/>
        </a:ln>
      </c:spPr>
    </c:plotArea>
    <c:legend>
      <c:legendPos val="b"/>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Never NEET</c:v>
                </c:pt>
              </c:strCache>
            </c:strRef>
          </c:tx>
          <c:spPr>
            <a:solidFill>
              <a:srgbClr val="BF311A"/>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Y03</c:v>
                </c:pt>
                <c:pt idx="1">
                  <c:v>Y06</c:v>
                </c:pt>
              </c:strCache>
            </c:strRef>
          </c:cat>
          <c:val>
            <c:numRef>
              <c:f>Sheet1!$B$2:$B$3</c:f>
              <c:numCache>
                <c:formatCode>0.0%</c:formatCode>
                <c:ptCount val="2"/>
                <c:pt idx="0">
                  <c:v>0.96899999999999997</c:v>
                </c:pt>
                <c:pt idx="1">
                  <c:v>0.81899999999999995</c:v>
                </c:pt>
              </c:numCache>
            </c:numRef>
          </c:val>
          <c:extLst>
            <c:ext xmlns:c16="http://schemas.microsoft.com/office/drawing/2014/chart" uri="{C3380CC4-5D6E-409C-BE32-E72D297353CC}">
              <c16:uniqueId val="{00000000-77E0-46C9-AA10-47CD8B21E1CD}"/>
            </c:ext>
          </c:extLst>
        </c:ser>
        <c:ser>
          <c:idx val="1"/>
          <c:order val="1"/>
          <c:tx>
            <c:strRef>
              <c:f>Sheet1!$C$1</c:f>
              <c:strCache>
                <c:ptCount val="1"/>
                <c:pt idx="0">
                  <c:v>Ever NEET</c:v>
                </c:pt>
              </c:strCache>
            </c:strRef>
          </c:tx>
          <c:spPr>
            <a:solidFill>
              <a:srgbClr val="49A942"/>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Y03</c:v>
                </c:pt>
                <c:pt idx="1">
                  <c:v>Y06</c:v>
                </c:pt>
              </c:strCache>
            </c:strRef>
          </c:cat>
          <c:val>
            <c:numRef>
              <c:f>Sheet1!$C$2:$C$3</c:f>
              <c:numCache>
                <c:formatCode>0.0%</c:formatCode>
                <c:ptCount val="2"/>
                <c:pt idx="0">
                  <c:v>3.1E-2</c:v>
                </c:pt>
                <c:pt idx="1">
                  <c:v>0.18099999999999999</c:v>
                </c:pt>
              </c:numCache>
            </c:numRef>
          </c:val>
          <c:extLst>
            <c:ext xmlns:c16="http://schemas.microsoft.com/office/drawing/2014/chart" uri="{C3380CC4-5D6E-409C-BE32-E72D297353CC}">
              <c16:uniqueId val="{00000001-77E0-46C9-AA10-47CD8B21E1CD}"/>
            </c:ext>
          </c:extLst>
        </c:ser>
        <c:ser>
          <c:idx val="2"/>
          <c:order val="2"/>
          <c:tx>
            <c:strRef>
              <c:f>Sheet1!$D$1</c:f>
              <c:strCache>
                <c:ptCount val="1"/>
                <c:pt idx="0">
                  <c:v>Persistently NEET</c:v>
                </c:pt>
              </c:strCache>
            </c:strRef>
          </c:tx>
          <c:spPr>
            <a:solidFill>
              <a:srgbClr val="116CC6"/>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Y03</c:v>
                </c:pt>
                <c:pt idx="1">
                  <c:v>Y06</c:v>
                </c:pt>
              </c:strCache>
            </c:strRef>
          </c:cat>
          <c:val>
            <c:numRef>
              <c:f>Sheet1!$D$2:$D$3</c:f>
              <c:numCache>
                <c:formatCode>0.0%</c:formatCode>
                <c:ptCount val="2"/>
                <c:pt idx="0">
                  <c:v>1.4999999999999999E-2</c:v>
                </c:pt>
                <c:pt idx="1">
                  <c:v>6.3E-2</c:v>
                </c:pt>
              </c:numCache>
            </c:numRef>
          </c:val>
          <c:extLst>
            <c:ext xmlns:c16="http://schemas.microsoft.com/office/drawing/2014/chart" uri="{C3380CC4-5D6E-409C-BE32-E72D297353CC}">
              <c16:uniqueId val="{00000002-77E0-46C9-AA10-47CD8B21E1CD}"/>
            </c:ext>
          </c:extLst>
        </c:ser>
        <c:dLbls>
          <c:dLblPos val="outEnd"/>
          <c:showLegendKey val="0"/>
          <c:showVal val="1"/>
          <c:showCatName val="0"/>
          <c:showSerName val="0"/>
          <c:showPercent val="0"/>
          <c:showBubbleSize val="0"/>
        </c:dLbls>
        <c:gapWidth val="150"/>
        <c:axId val="404608512"/>
        <c:axId val="405516288"/>
      </c:barChart>
      <c:catAx>
        <c:axId val="404608512"/>
        <c:scaling>
          <c:orientation val="minMax"/>
        </c:scaling>
        <c:delete val="0"/>
        <c:axPos val="b"/>
        <c:numFmt formatCode="General" sourceLinked="0"/>
        <c:majorTickMark val="out"/>
        <c:minorTickMark val="none"/>
        <c:tickLblPos val="nextTo"/>
        <c:crossAx val="405516288"/>
        <c:crosses val="autoZero"/>
        <c:auto val="1"/>
        <c:lblAlgn val="ctr"/>
        <c:lblOffset val="100"/>
        <c:noMultiLvlLbl val="0"/>
      </c:catAx>
      <c:valAx>
        <c:axId val="405516288"/>
        <c:scaling>
          <c:orientation val="minMax"/>
          <c:max val="1"/>
        </c:scaling>
        <c:delete val="0"/>
        <c:axPos val="l"/>
        <c:numFmt formatCode="0.0%" sourceLinked="1"/>
        <c:majorTickMark val="out"/>
        <c:minorTickMark val="none"/>
        <c:tickLblPos val="nextTo"/>
        <c:crossAx val="40460851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4408F-D6A8-414A-A6C8-11B22ACBD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1</TotalTime>
  <Pages>122</Pages>
  <Words>41361</Words>
  <Characters>235760</Characters>
  <Application>Microsoft Office Word</Application>
  <DocSecurity>0</DocSecurity>
  <Lines>1964</Lines>
  <Paragraphs>553</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276568</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NCVER</dc:creator>
  <cp:lastModifiedBy>Shafiq Rahman</cp:lastModifiedBy>
  <cp:revision>4</cp:revision>
  <cp:lastPrinted>2020-04-02T03:25:00Z</cp:lastPrinted>
  <dcterms:created xsi:type="dcterms:W3CDTF">2020-04-02T03:22:00Z</dcterms:created>
  <dcterms:modified xsi:type="dcterms:W3CDTF">2020-04-07T02:48:00Z</dcterms:modified>
</cp:coreProperties>
</file>